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7CCF8" w14:textId="77777777" w:rsidR="00C55DA5" w:rsidRPr="005F1809" w:rsidRDefault="00C55DA5" w:rsidP="00C55DA5">
      <w:pPr>
        <w:spacing w:line="276" w:lineRule="auto"/>
        <w:jc w:val="center"/>
        <w:rPr>
          <w:rFonts w:eastAsia="Calibri" w:cs="Arial"/>
          <w:color w:val="002060"/>
          <w:sz w:val="24"/>
          <w:szCs w:val="24"/>
        </w:rPr>
      </w:pPr>
      <w:bookmarkStart w:id="0" w:name="_GoBack"/>
      <w:bookmarkEnd w:id="0"/>
      <w:r w:rsidRPr="005F1809">
        <w:rPr>
          <w:rFonts w:eastAsia="Calibri" w:cs="Arial"/>
          <w:color w:val="002060"/>
          <w:sz w:val="24"/>
          <w:szCs w:val="24"/>
        </w:rPr>
        <w:t>DOCUMENTO TÉCNICO DE SOPORTE</w:t>
      </w:r>
    </w:p>
    <w:p w14:paraId="048F1778" w14:textId="77777777" w:rsidR="00C55DA5" w:rsidRPr="005F1809" w:rsidRDefault="00C55DA5" w:rsidP="00C55DA5">
      <w:pPr>
        <w:spacing w:before="280" w:line="276" w:lineRule="auto"/>
        <w:jc w:val="center"/>
        <w:rPr>
          <w:rFonts w:eastAsia="Calibri" w:cs="Arial"/>
          <w:color w:val="002060"/>
          <w:sz w:val="24"/>
          <w:szCs w:val="24"/>
        </w:rPr>
      </w:pPr>
      <w:r w:rsidRPr="005F1809">
        <w:rPr>
          <w:rFonts w:eastAsia="Calibri" w:cs="Arial"/>
          <w:color w:val="002060"/>
          <w:sz w:val="24"/>
          <w:szCs w:val="24"/>
        </w:rPr>
        <w:t xml:space="preserve">COMISIÓN INTERSECTORIAL PARA EL SEGUIMIENTO E IMPLEMENTACIÓN DE LA POLÍTICA DE CALIDAD ACÚSTICA Y SE DICTAN OTRAS DISPOSICIONES </w:t>
      </w:r>
    </w:p>
    <w:p w14:paraId="0084141D" w14:textId="76CF07BF" w:rsidR="00C55DA5" w:rsidRPr="005F1809" w:rsidRDefault="00C55DA5" w:rsidP="00C55DA5">
      <w:pPr>
        <w:pBdr>
          <w:top w:val="nil"/>
          <w:left w:val="nil"/>
          <w:bottom w:val="nil"/>
          <w:right w:val="nil"/>
          <w:between w:val="nil"/>
        </w:pBdr>
        <w:tabs>
          <w:tab w:val="left" w:pos="5529"/>
        </w:tabs>
        <w:spacing w:line="276" w:lineRule="auto"/>
        <w:ind w:left="1134" w:right="1041"/>
        <w:jc w:val="center"/>
        <w:rPr>
          <w:rFonts w:eastAsia="Calibri" w:cs="Arial"/>
          <w:color w:val="000000"/>
          <w:sz w:val="24"/>
          <w:szCs w:val="24"/>
        </w:rPr>
      </w:pPr>
      <w:r w:rsidRPr="005F1809">
        <w:rPr>
          <w:rFonts w:eastAsia="Calibri" w:cs="Arial"/>
          <w:color w:val="000000"/>
          <w:sz w:val="24"/>
          <w:szCs w:val="24"/>
        </w:rPr>
        <w:t xml:space="preserve">Proyecto de Decreto </w:t>
      </w:r>
      <w:r w:rsidR="00013FC9" w:rsidRPr="005F1809">
        <w:rPr>
          <w:rFonts w:eastAsia="Calibri" w:cs="Arial"/>
          <w:i/>
          <w:color w:val="000000"/>
          <w:sz w:val="24"/>
          <w:szCs w:val="24"/>
        </w:rPr>
        <w:t>“Por el cual se reglamenta el artículo 9 de la Ley 2450 de 2025 – Ley contra el ruido, mediante el cual se</w:t>
      </w:r>
      <w:r w:rsidR="00EA4F5E" w:rsidRPr="005F1809">
        <w:rPr>
          <w:rFonts w:eastAsia="Calibri" w:cs="Arial"/>
          <w:i/>
          <w:color w:val="000000"/>
          <w:sz w:val="24"/>
          <w:szCs w:val="24"/>
        </w:rPr>
        <w:t xml:space="preserve"> reglamenta</w:t>
      </w:r>
      <w:r w:rsidR="00013FC9" w:rsidRPr="005F1809">
        <w:rPr>
          <w:rFonts w:eastAsia="Calibri" w:cs="Arial"/>
          <w:i/>
          <w:color w:val="000000"/>
          <w:sz w:val="24"/>
          <w:szCs w:val="24"/>
        </w:rPr>
        <w:t xml:space="preserve"> la Comisión Intersectorial para el Seguimiento e Implementación de la </w:t>
      </w:r>
      <w:r w:rsidR="001E226C" w:rsidRPr="005F1809">
        <w:rPr>
          <w:rFonts w:eastAsia="Calibri" w:cs="Arial"/>
          <w:i/>
          <w:color w:val="000000"/>
          <w:sz w:val="24"/>
          <w:szCs w:val="24"/>
        </w:rPr>
        <w:t>p</w:t>
      </w:r>
      <w:r w:rsidR="00013FC9" w:rsidRPr="005F1809">
        <w:rPr>
          <w:rFonts w:eastAsia="Calibri" w:cs="Arial"/>
          <w:i/>
          <w:color w:val="000000"/>
          <w:sz w:val="24"/>
          <w:szCs w:val="24"/>
        </w:rPr>
        <w:t>olítica de calidad acústica y se dictan otras disposiciones</w:t>
      </w:r>
      <w:r w:rsidR="003E7EE8" w:rsidRPr="005F1809">
        <w:rPr>
          <w:rFonts w:eastAsia="Calibri" w:cs="Arial"/>
          <w:i/>
          <w:color w:val="000000"/>
          <w:sz w:val="24"/>
          <w:szCs w:val="24"/>
        </w:rPr>
        <w:t>”</w:t>
      </w:r>
    </w:p>
    <w:p w14:paraId="660454E1" w14:textId="77777777" w:rsidR="006D7745" w:rsidRPr="005F1809" w:rsidRDefault="006D7745">
      <w:pPr>
        <w:rPr>
          <w:rFonts w:cs="Arial"/>
          <w:sz w:val="24"/>
          <w:szCs w:val="24"/>
        </w:rPr>
      </w:pPr>
    </w:p>
    <w:p w14:paraId="4F392C5B" w14:textId="77777777" w:rsidR="00BA7836" w:rsidRPr="005F1809" w:rsidRDefault="00BA7836" w:rsidP="00BA7836">
      <w:pPr>
        <w:pStyle w:val="Ttulo1"/>
        <w:numPr>
          <w:ilvl w:val="0"/>
          <w:numId w:val="8"/>
        </w:numPr>
        <w:rPr>
          <w:rFonts w:ascii="Arial" w:hAnsi="Arial" w:cs="Arial"/>
          <w:sz w:val="24"/>
          <w:szCs w:val="24"/>
          <w:lang w:eastAsia="es-CO"/>
        </w:rPr>
      </w:pPr>
      <w:r w:rsidRPr="005F1809">
        <w:rPr>
          <w:rFonts w:ascii="Arial" w:hAnsi="Arial" w:cs="Arial"/>
          <w:sz w:val="24"/>
          <w:szCs w:val="24"/>
          <w:lang w:eastAsia="es-CO"/>
        </w:rPr>
        <w:t>INTRODUCCIÓN</w:t>
      </w:r>
    </w:p>
    <w:p w14:paraId="5F678496" w14:textId="7786A252" w:rsidR="003863DF" w:rsidRPr="005F1809" w:rsidRDefault="003863DF" w:rsidP="00FA19B1">
      <w:pPr>
        <w:spacing w:before="100" w:beforeAutospacing="1" w:after="100" w:afterAutospacing="1"/>
        <w:rPr>
          <w:rFonts w:cs="Arial"/>
          <w:i/>
          <w:iCs/>
          <w:sz w:val="24"/>
          <w:szCs w:val="24"/>
          <w:lang w:eastAsia="es-CO"/>
        </w:rPr>
      </w:pPr>
      <w:r w:rsidRPr="005F1809">
        <w:rPr>
          <w:rFonts w:cs="Arial"/>
          <w:sz w:val="24"/>
          <w:szCs w:val="24"/>
          <w:lang w:eastAsia="es-CO"/>
        </w:rPr>
        <w:t xml:space="preserve">Este documento presenta los elementos técnicos de soporte del proyecto de decreto </w:t>
      </w:r>
      <w:r w:rsidRPr="005F1809">
        <w:rPr>
          <w:rFonts w:cs="Arial"/>
          <w:i/>
          <w:iCs/>
          <w:sz w:val="24"/>
          <w:szCs w:val="24"/>
          <w:lang w:eastAsia="es-CO"/>
        </w:rPr>
        <w:t>“</w:t>
      </w:r>
      <w:r w:rsidR="008E0AFA" w:rsidRPr="005F1809">
        <w:rPr>
          <w:rFonts w:cs="Arial"/>
          <w:i/>
          <w:iCs/>
          <w:sz w:val="24"/>
          <w:szCs w:val="24"/>
          <w:lang w:eastAsia="es-CO"/>
        </w:rPr>
        <w:t>Por el cual se reglamenta el artículo 9 de la Ley 2450 de 2025 – Ley contra el ruido, mediante el cual se reglamenta la Comisión Intersectorial para el Seguimiento e Implementación de la política de calidad acústica y se dictan otras disposiciones</w:t>
      </w:r>
      <w:r w:rsidRPr="005F1809">
        <w:rPr>
          <w:rFonts w:cs="Arial"/>
          <w:i/>
          <w:iCs/>
          <w:sz w:val="24"/>
          <w:szCs w:val="24"/>
          <w:lang w:eastAsia="es-CO"/>
        </w:rPr>
        <w:t>”</w:t>
      </w:r>
      <w:r w:rsidR="008E0AFA" w:rsidRPr="005F1809">
        <w:rPr>
          <w:rFonts w:cs="Arial"/>
          <w:sz w:val="24"/>
          <w:szCs w:val="24"/>
          <w:lang w:eastAsia="es-CO"/>
        </w:rPr>
        <w:t>.</w:t>
      </w:r>
    </w:p>
    <w:p w14:paraId="21564D0E" w14:textId="6375B4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En el contexto actual colombiano, la contaminación acústica se ha consolidado como una problemática ambiental, sanitaria y social de carácter creciente</w:t>
      </w:r>
      <w:r w:rsidR="00EA0E97" w:rsidRPr="005F1809">
        <w:rPr>
          <w:rFonts w:cs="Arial"/>
          <w:sz w:val="24"/>
          <w:szCs w:val="24"/>
          <w:lang w:eastAsia="es-CO"/>
        </w:rPr>
        <w:t xml:space="preserve"> y </w:t>
      </w:r>
      <w:r w:rsidR="008E0AFA" w:rsidRPr="005F1809">
        <w:rPr>
          <w:rFonts w:cs="Arial"/>
          <w:sz w:val="24"/>
          <w:szCs w:val="24"/>
          <w:lang w:eastAsia="es-CO"/>
        </w:rPr>
        <w:t>transversal</w:t>
      </w:r>
      <w:r w:rsidR="00EA0E97" w:rsidRPr="005F1809">
        <w:rPr>
          <w:rFonts w:cs="Arial"/>
          <w:sz w:val="24"/>
          <w:szCs w:val="24"/>
          <w:lang w:eastAsia="es-CO"/>
        </w:rPr>
        <w:t xml:space="preserve">, </w:t>
      </w:r>
      <w:r w:rsidR="00EA0E97" w:rsidRPr="005F1809">
        <w:rPr>
          <w:rFonts w:cs="Arial"/>
          <w:sz w:val="24"/>
          <w:szCs w:val="24"/>
        </w:rPr>
        <w:t>en la medida en que sus causas, impactos y soluciones involucran de manera simultánea a múltiples sectores, niveles de gobierno y actores públicos y privados.</w:t>
      </w:r>
      <w:r w:rsidRPr="005F1809">
        <w:rPr>
          <w:rFonts w:cs="Arial"/>
          <w:sz w:val="24"/>
          <w:szCs w:val="24"/>
          <w:lang w:eastAsia="es-CO"/>
        </w:rPr>
        <w:t xml:space="preserve"> La diversidad y concentración de actividades en los centros urbanos, tales como las industriales, comerciales, de entretenimiento y ocio, así como el tráfico vehicular y aéreo, contribuyen de manera significativa a la generación de ambientes sonoros adversos, afectando de forma directa la calidad de vida de la población y el ambiente.</w:t>
      </w:r>
    </w:p>
    <w:p w14:paraId="06D6CE68"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La evidencia científica ha demostrado que la exposición prolongada a niveles elevados de ruido está asociada a múltiples efectos negativos sobre la salud, entre los que se destacan el incremento del riesgo de enfermedades isquémicas del corazón, trastornos del sueño, molestias persistentes, deterioro del bienestar y afectaciones a la salud mental relacionadas con el estrés. Estos impactos trascienden el ámbito individual y se reflejan en la convivencia social, la productividad y el desarrollo sostenible de los territorios.</w:t>
      </w:r>
    </w:p>
    <w:p w14:paraId="79B927B8"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Adicionalmente, la insuficiente incorporación de la variable acústica en los procesos de ordenamiento y planificación territorial ha favorecido la coexistencia de usos del suelo incompatibles, como la localización de zonas residenciales en proximidad a áreas de intensa actividad comercial, de entretenimiento o infraestructura de transporte. Esta situación ha intensificado la exposición de amplios sectores de la población al ruido ambiental, generando impactos negativos no solo sobre la salud humana y la convivencia, sino también sobre la fauna y los ecosistemas.</w:t>
      </w:r>
    </w:p>
    <w:p w14:paraId="4F35CA09"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lastRenderedPageBreak/>
        <w:t>En Colombia, la gestión del ruido ambiental ha sido abordada de manera progresiva desde la expedición del Decreto Ley 2811 de 1974, que reconoció el ruido como un factor susceptible de regulación. Posteriormente, mediante la Resolución 8321 de 1983, el entonces Ministerio de Salud estableció niveles sonoros máximos permisibles, así como restricciones y prohibiciones específicas asociadas a la generación de ruido.</w:t>
      </w:r>
    </w:p>
    <w:p w14:paraId="5D948F6A"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Un hito relevante en la evolución normativa fue la expedición del Reglamento para la Protección y Control de la Calidad del Aire, hoy compilado en el Decreto 1076 de 2015, mediante el cual se asignó al Ministerio de Ambiente y Desarrollo Sostenible la responsabilidad de establecer la norma nacional de ruido</w:t>
      </w:r>
      <w:r w:rsidR="00D86F98" w:rsidRPr="005F1809">
        <w:rPr>
          <w:rFonts w:cs="Arial"/>
          <w:sz w:val="24"/>
          <w:szCs w:val="24"/>
          <w:lang w:eastAsia="es-CO"/>
        </w:rPr>
        <w:t xml:space="preserve"> en el marco de sus competencias</w:t>
      </w:r>
      <w:r w:rsidRPr="005F1809">
        <w:rPr>
          <w:rFonts w:cs="Arial"/>
          <w:sz w:val="24"/>
          <w:szCs w:val="24"/>
          <w:lang w:eastAsia="es-CO"/>
        </w:rPr>
        <w:t>. En este marco, se definieron sectores de restricción, permisos de emisión de ruido y obligaciones para actividades, obras y trabajos generadores de niveles sonoros superiores a los estándares vigentes.</w:t>
      </w:r>
    </w:p>
    <w:p w14:paraId="274EAEAD"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En desarrollo de dicho marco, el entonces Ministerio de Ambiente, Vivienda y Desarrollo Territorial expidió la Resolución 627 de 2006, por la cual se estableció la norma nacional de emisión de ruido y ruido ambiental. Esta resolución reglamentó las disposiciones del Decreto 1076 de 2015, definió estándares diferenciados para la emisión de ruido y el ruido ambiental, y asignó responsabilidades a las autoridades ambientales en materia de medición, control y seguimiento.</w:t>
      </w:r>
    </w:p>
    <w:p w14:paraId="108FDC2C"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Más recientemente, la exp</w:t>
      </w:r>
      <w:r w:rsidR="00EA0E97" w:rsidRPr="005F1809">
        <w:rPr>
          <w:rFonts w:cs="Arial"/>
          <w:sz w:val="24"/>
          <w:szCs w:val="24"/>
          <w:lang w:eastAsia="es-CO"/>
        </w:rPr>
        <w:t>edición de la Ley 2450 de 2025, Ley contra el ruido,</w:t>
      </w:r>
      <w:r w:rsidRPr="005F1809">
        <w:rPr>
          <w:rFonts w:cs="Arial"/>
          <w:sz w:val="24"/>
          <w:szCs w:val="24"/>
          <w:lang w:eastAsia="es-CO"/>
        </w:rPr>
        <w:t xml:space="preserve"> consolidó un enfoque integral para la gestión de la calidad acústica en el país. Esta norma establece los objetivos, lineamientos y competencias de las entidades del orden nacional y territorial para el diagnóstico, evaluación y gestión de la calidad acústica, con el fin de garantizar el derecho a un ambiente sano, la salud y la sana convivencia. Asimismo, amplía el alcance de la política al incorporar no solo el ruido, sino también las vibraciones, y se fundamenta en principios como el enfoque de salud pública, el desarrollo sostenible y la investigación científica y tecnológica.</w:t>
      </w:r>
    </w:p>
    <w:p w14:paraId="79FE35BC"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El artículo 4 de la Ley 2450 de 2025 define como objetivo de la Política Nacional de Calidad Acústica el fortalecimiento de la evaluación y la gestión interinstitucional, la clarificación de responsabilidades y la promoción de acciones orientadas a la reducción de la contaminación acústica, con el propósito de controlar sus impactos sobre la salud, el ambiente, la fauna, la convivencia y la salud ocupacional, entre otros ámbitos.</w:t>
      </w:r>
    </w:p>
    <w:p w14:paraId="28605E84"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 xml:space="preserve">Bajo este marco, la política adopta un enfoque de gobernanza multinivel y de salud pública, superando la concepción tradicional del ruido como una molestia aislada para reconocerlo como un factor de riesgo ambiental y sanitario. </w:t>
      </w:r>
    </w:p>
    <w:p w14:paraId="1416B31D" w14:textId="77777777"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En coherencia con lo anterior, el artículo 9 de la Ley 2450 de 2025 ordena la creación de la Comisión de Seguimiento e Implementación de la Política de Calidad Acústica, como instancia encargada de realizar el seguimiento periódico a su formulación e implementación. A su vez, el artículo 45 de la Ley 489 de 1998 faculta al Gobierno nacional para crear Comisiones Intersectoriales como mecanismos de coordinación y orientación superior cuando las funciones a desarrollar involucran a varias entidades del Estado.</w:t>
      </w:r>
    </w:p>
    <w:p w14:paraId="45E22C1D" w14:textId="0DF3100C" w:rsidR="003863DF" w:rsidRPr="005F1809" w:rsidRDefault="003863DF" w:rsidP="00FA19B1">
      <w:pPr>
        <w:spacing w:before="100" w:beforeAutospacing="1" w:after="100" w:afterAutospacing="1"/>
        <w:rPr>
          <w:rFonts w:cs="Arial"/>
          <w:sz w:val="24"/>
          <w:szCs w:val="24"/>
          <w:lang w:eastAsia="es-CO"/>
        </w:rPr>
      </w:pPr>
      <w:r w:rsidRPr="005F1809">
        <w:rPr>
          <w:rFonts w:cs="Arial"/>
          <w:sz w:val="24"/>
          <w:szCs w:val="24"/>
          <w:lang w:eastAsia="es-CO"/>
        </w:rPr>
        <w:t xml:space="preserve">En este contexto, la presente propuesta de decreto tiene como finalidad desarrollar el mandato legal contenido en el artículo 9 de la Ley 2450 de 2025, mediante la </w:t>
      </w:r>
      <w:r w:rsidR="001E226C" w:rsidRPr="005F1809">
        <w:rPr>
          <w:rFonts w:cs="Arial"/>
          <w:sz w:val="24"/>
          <w:szCs w:val="24"/>
          <w:lang w:eastAsia="es-CO"/>
        </w:rPr>
        <w:t>reglamentación</w:t>
      </w:r>
      <w:r w:rsidRPr="005F1809">
        <w:rPr>
          <w:rFonts w:cs="Arial"/>
          <w:sz w:val="24"/>
          <w:szCs w:val="24"/>
          <w:lang w:eastAsia="es-CO"/>
        </w:rPr>
        <w:t xml:space="preserve"> de una Comisión Intersectorial que permita articular, coordinar y hacer seguimiento a la implementación efectiva de la Política Nacional de Calidad Acústica, bajo un enfoque de gobernanza intersectorial, multinivel y de salud pública, fortaleciendo así la capacidad institucional </w:t>
      </w:r>
      <w:r w:rsidR="0039784F" w:rsidRPr="005F1809">
        <w:rPr>
          <w:rFonts w:cs="Arial"/>
          <w:sz w:val="24"/>
          <w:szCs w:val="24"/>
          <w:lang w:eastAsia="es-CO"/>
        </w:rPr>
        <w:t xml:space="preserve">estatal </w:t>
      </w:r>
      <w:r w:rsidRPr="005F1809">
        <w:rPr>
          <w:rFonts w:cs="Arial"/>
          <w:sz w:val="24"/>
          <w:szCs w:val="24"/>
          <w:lang w:eastAsia="es-CO"/>
        </w:rPr>
        <w:t>para enfrentar de manera integral la problemática del ruido en Colombia.</w:t>
      </w:r>
    </w:p>
    <w:p w14:paraId="10C32071" w14:textId="359937B6" w:rsidR="00BA7836" w:rsidRPr="005F1809" w:rsidRDefault="00BA7836" w:rsidP="00BA7836">
      <w:pPr>
        <w:pStyle w:val="Ttulo1"/>
        <w:numPr>
          <w:ilvl w:val="0"/>
          <w:numId w:val="8"/>
        </w:numPr>
        <w:rPr>
          <w:rFonts w:ascii="Arial" w:hAnsi="Arial" w:cs="Arial"/>
          <w:sz w:val="24"/>
          <w:szCs w:val="24"/>
          <w:lang w:eastAsia="es-CO"/>
        </w:rPr>
      </w:pPr>
      <w:r w:rsidRPr="005F1809">
        <w:rPr>
          <w:rFonts w:ascii="Arial" w:hAnsi="Arial" w:cs="Arial"/>
          <w:sz w:val="24"/>
          <w:szCs w:val="24"/>
          <w:lang w:eastAsia="es-CO"/>
        </w:rPr>
        <w:t>JUTIFICACIÓN Y NECESIDAD DE LA PROPUESTA DE ARTICULADO</w:t>
      </w:r>
    </w:p>
    <w:p w14:paraId="51FB0BF8" w14:textId="77777777" w:rsidR="008E0AFA" w:rsidRPr="005F1809" w:rsidRDefault="008E0AFA" w:rsidP="008E0AFA">
      <w:pPr>
        <w:rPr>
          <w:rFonts w:cs="Arial"/>
          <w:sz w:val="24"/>
          <w:szCs w:val="24"/>
          <w:lang w:eastAsia="es-CO"/>
        </w:rPr>
      </w:pPr>
    </w:p>
    <w:p w14:paraId="28C0429A" w14:textId="40036A0C" w:rsidR="00BA7836" w:rsidRPr="005F1809" w:rsidRDefault="00BA7836" w:rsidP="00BA7836">
      <w:pPr>
        <w:pStyle w:val="Ttulo2"/>
        <w:rPr>
          <w:rFonts w:ascii="Arial" w:hAnsi="Arial" w:cs="Arial"/>
          <w:sz w:val="24"/>
          <w:szCs w:val="24"/>
          <w:lang w:eastAsia="es-CO"/>
        </w:rPr>
      </w:pPr>
      <w:r w:rsidRPr="005F1809">
        <w:rPr>
          <w:rFonts w:ascii="Arial" w:hAnsi="Arial" w:cs="Arial"/>
          <w:sz w:val="24"/>
          <w:szCs w:val="24"/>
          <w:lang w:eastAsia="es-CO"/>
        </w:rPr>
        <w:t xml:space="preserve">2.1 </w:t>
      </w:r>
      <w:r w:rsidR="0057658D" w:rsidRPr="005F1809">
        <w:rPr>
          <w:rFonts w:ascii="Arial" w:hAnsi="Arial" w:cs="Arial"/>
          <w:sz w:val="24"/>
          <w:szCs w:val="24"/>
          <w:lang w:eastAsia="es-CO"/>
        </w:rPr>
        <w:t>Reglamentación</w:t>
      </w:r>
      <w:r w:rsidRPr="005F1809">
        <w:rPr>
          <w:rFonts w:ascii="Arial" w:hAnsi="Arial" w:cs="Arial"/>
          <w:sz w:val="24"/>
          <w:szCs w:val="24"/>
          <w:lang w:eastAsia="es-CO"/>
        </w:rPr>
        <w:t xml:space="preserve"> y objeto </w:t>
      </w:r>
    </w:p>
    <w:p w14:paraId="541968A9" w14:textId="77777777" w:rsidR="00B90DDA" w:rsidRPr="005F1809" w:rsidRDefault="00B90DDA" w:rsidP="00C367EF">
      <w:pPr>
        <w:spacing w:before="100" w:beforeAutospacing="1" w:after="100" w:afterAutospacing="1"/>
        <w:rPr>
          <w:rFonts w:cs="Arial"/>
          <w:sz w:val="24"/>
          <w:szCs w:val="24"/>
          <w:lang w:eastAsia="es-CO"/>
        </w:rPr>
      </w:pPr>
      <w:r w:rsidRPr="005F1809">
        <w:rPr>
          <w:rFonts w:cs="Arial"/>
          <w:sz w:val="24"/>
          <w:szCs w:val="24"/>
          <w:lang w:eastAsia="es-CO"/>
        </w:rPr>
        <w:t>La reglamentación de la Comisión Intersectorial para el Seguimiento e Implementación de la Política Nacional de Calidad Acústica obedece a la necesidad de desarrollar el mandato previsto en el artículo 9 de la Ley 2450 de 2025, mediante la definición de los mecanismos institucionales, operativos y de articulación requeridos para su adecuado funcionamiento.</w:t>
      </w:r>
    </w:p>
    <w:p w14:paraId="6DD10E1B" w14:textId="77777777" w:rsidR="00B90DDA" w:rsidRPr="005F1809" w:rsidRDefault="00B90DDA" w:rsidP="00C367EF">
      <w:pPr>
        <w:spacing w:before="100" w:beforeAutospacing="1" w:after="100" w:afterAutospacing="1"/>
        <w:rPr>
          <w:rFonts w:cs="Arial"/>
          <w:sz w:val="24"/>
          <w:szCs w:val="24"/>
          <w:lang w:eastAsia="es-CO"/>
        </w:rPr>
      </w:pPr>
      <w:r w:rsidRPr="005F1809">
        <w:rPr>
          <w:rFonts w:cs="Arial"/>
          <w:sz w:val="24"/>
          <w:szCs w:val="24"/>
          <w:lang w:eastAsia="es-CO"/>
        </w:rPr>
        <w:t>Dado el carácter transversal de la contaminación acústica y de las vibraciones, cuyos impactos inciden simultáneamente en la salud pública, el ambiente, el ordenamiento territorial, la movilidad, la convivencia ciudadana, la productividad y la protección de la fauna y los ecosistemas, su gestión involucra competencias concurrentes de múltiples sectores y niveles de gobierno. En este contexto, resulta necesario establecer disposiciones reglamentarias que permitan organizar el funcionamiento de la Comisión como instancia de coordinación interinstitucional encargada del seguimiento e implementación de la Política Nacional de Calidad Acústica.</w:t>
      </w:r>
    </w:p>
    <w:p w14:paraId="08172589" w14:textId="77777777" w:rsidR="00B90DDA" w:rsidRPr="005F1809" w:rsidRDefault="00B90DDA" w:rsidP="00C367EF">
      <w:pPr>
        <w:spacing w:before="100" w:beforeAutospacing="1" w:after="100" w:afterAutospacing="1"/>
        <w:rPr>
          <w:rFonts w:cs="Arial"/>
          <w:sz w:val="24"/>
          <w:szCs w:val="24"/>
          <w:lang w:eastAsia="es-CO"/>
        </w:rPr>
      </w:pPr>
      <w:r w:rsidRPr="005F1809">
        <w:rPr>
          <w:rFonts w:cs="Arial"/>
          <w:sz w:val="24"/>
          <w:szCs w:val="24"/>
          <w:lang w:eastAsia="es-CO"/>
        </w:rPr>
        <w:t>En ausencia de reglas claras sobre integración, funcionamiento, coordinación y seguimiento, las actuaciones de las entidades competentes pueden desarrollarse de manera fragmentada, dificultando la armonización normativa, la articulación técnica y el seguimiento efectivo de las acciones derivadas de la Política Nacional de Calidad Acústica. Por ello, resulta necesario contar con un marco reglamentario que precise aspectos relacionados con su conformación, funciones, mecanismos de articulación, sesiones, quórum y funcionamiento operativo.</w:t>
      </w:r>
    </w:p>
    <w:p w14:paraId="7B07B8D4" w14:textId="77777777" w:rsidR="00B90DDA" w:rsidRPr="005F1809" w:rsidRDefault="00B90DDA" w:rsidP="00C367EF">
      <w:pPr>
        <w:spacing w:before="100" w:beforeAutospacing="1" w:after="100" w:afterAutospacing="1"/>
        <w:rPr>
          <w:rFonts w:cs="Arial"/>
          <w:sz w:val="24"/>
          <w:szCs w:val="24"/>
          <w:lang w:eastAsia="es-CO"/>
        </w:rPr>
      </w:pPr>
      <w:r w:rsidRPr="005F1809">
        <w:rPr>
          <w:rFonts w:cs="Arial"/>
          <w:sz w:val="24"/>
          <w:szCs w:val="24"/>
          <w:lang w:eastAsia="es-CO"/>
        </w:rPr>
        <w:t>Adicionalmente, la presente reglamentación desarrolla el mandato expreso contenido en el artículo 9 de la Ley 2450 de 2025, disposición mediante la cual el legislador creó la Comisión de Seguimiento e Implementación de la Política de Calidad Acústica. En consecuencia, el presente decreto no tiene por objeto crear una nueva instancia administrativa, sino reglamentar su funcionamiento, estructura operativa y mecanismos de coordinación interinstitucional, en armonía con lo dispuesto en el artículo 45 de la Ley 489 de 1998.</w:t>
      </w:r>
    </w:p>
    <w:p w14:paraId="724AA8D4" w14:textId="77777777" w:rsidR="00B90DDA" w:rsidRPr="005F1809" w:rsidRDefault="00B90DDA" w:rsidP="00C367EF">
      <w:pPr>
        <w:spacing w:before="100" w:beforeAutospacing="1" w:after="100" w:afterAutospacing="1"/>
        <w:rPr>
          <w:rFonts w:cs="Arial"/>
          <w:sz w:val="24"/>
          <w:szCs w:val="24"/>
          <w:lang w:eastAsia="es-CO"/>
        </w:rPr>
      </w:pPr>
      <w:r w:rsidRPr="005F1809">
        <w:rPr>
          <w:rFonts w:cs="Arial"/>
          <w:sz w:val="24"/>
          <w:szCs w:val="24"/>
          <w:lang w:eastAsia="es-CO"/>
        </w:rPr>
        <w:t>La naturaleza y el objeto asignados a la Comisión resultan igualmente necesarios para asegurar la coordinación y orientación de las actuaciones estatales en materia de calidad acústica, promoviendo la articulación entre entidades del orden nacional y territorial y fortaleciendo la implementación progresiva de la Política Nacional de Calidad Acústica.</w:t>
      </w:r>
    </w:p>
    <w:p w14:paraId="6BECA68B" w14:textId="77777777" w:rsidR="00EA0E97" w:rsidRPr="005F1809" w:rsidRDefault="00EA0E97" w:rsidP="00FA19B1">
      <w:pPr>
        <w:spacing w:before="100" w:beforeAutospacing="1" w:after="100" w:afterAutospacing="1"/>
        <w:rPr>
          <w:rFonts w:cs="Arial"/>
          <w:sz w:val="24"/>
          <w:szCs w:val="24"/>
          <w:lang w:eastAsia="es-CO"/>
        </w:rPr>
      </w:pPr>
      <w:r w:rsidRPr="005F1809">
        <w:rPr>
          <w:rFonts w:cs="Arial"/>
          <w:sz w:val="24"/>
          <w:szCs w:val="24"/>
          <w:lang w:eastAsia="es-CO"/>
        </w:rPr>
        <w:t>Por lo anterior, se propone el siguiente artículo:</w:t>
      </w:r>
    </w:p>
    <w:p w14:paraId="70BE18E0" w14:textId="7A1FDCC9" w:rsidR="00BA7836" w:rsidRPr="005F1809" w:rsidRDefault="00EA0E97" w:rsidP="005E32DA">
      <w:pPr>
        <w:ind w:left="720"/>
        <w:rPr>
          <w:rFonts w:cs="Arial"/>
          <w:bCs/>
          <w:i/>
          <w:sz w:val="24"/>
          <w:szCs w:val="24"/>
          <w:lang w:eastAsia="es-CO"/>
        </w:rPr>
      </w:pPr>
      <w:r w:rsidRPr="005F1809">
        <w:rPr>
          <w:rFonts w:cs="Arial"/>
          <w:bCs/>
          <w:i/>
          <w:sz w:val="24"/>
          <w:szCs w:val="24"/>
          <w:lang w:eastAsia="es-CO"/>
        </w:rPr>
        <w:t>“</w:t>
      </w:r>
      <w:r w:rsidR="005E32DA" w:rsidRPr="005F1809">
        <w:rPr>
          <w:rFonts w:cs="Arial"/>
          <w:bCs/>
          <w:i/>
          <w:sz w:val="24"/>
          <w:szCs w:val="24"/>
          <w:lang w:eastAsia="es-CO"/>
        </w:rPr>
        <w:t xml:space="preserve">Artículo 1. Objeto.  Reglamentar la Comisión Intersectorial para el Seguimiento e Implementación de la Política Nacional de Calidad Acústica, en adelante la Comisión, </w:t>
      </w:r>
      <w:r w:rsidR="008E0AFA" w:rsidRPr="005F1809">
        <w:rPr>
          <w:rFonts w:cs="Arial"/>
          <w:bCs/>
          <w:i/>
          <w:sz w:val="24"/>
          <w:szCs w:val="24"/>
          <w:lang w:eastAsia="es-CO"/>
        </w:rPr>
        <w:t xml:space="preserve">como </w:t>
      </w:r>
      <w:r w:rsidR="005E32DA" w:rsidRPr="005F1809">
        <w:rPr>
          <w:rFonts w:cs="Arial"/>
          <w:bCs/>
          <w:i/>
          <w:sz w:val="24"/>
          <w:szCs w:val="24"/>
          <w:lang w:eastAsia="es-CO"/>
        </w:rPr>
        <w:t>la instancia técnica, asesora, orientadora, consultiva y de articulación interinstitucional, encargada de promover y coordinar la formulación, la implementación progresiva, la armonización normativa el seguimiento de dicha política, en el marco de lo dispuesto en la Ley 2450 de 2025 y el artículo 45 de la Ley 489 de 1998”</w:t>
      </w:r>
    </w:p>
    <w:p w14:paraId="47CD41C9" w14:textId="77777777" w:rsidR="00BA7836" w:rsidRPr="005F1809" w:rsidRDefault="00BA7836" w:rsidP="00BA7836">
      <w:pPr>
        <w:ind w:left="720"/>
        <w:rPr>
          <w:rFonts w:cs="Arial"/>
          <w:bCs/>
          <w:i/>
          <w:sz w:val="24"/>
          <w:szCs w:val="24"/>
        </w:rPr>
      </w:pPr>
    </w:p>
    <w:p w14:paraId="286191F7" w14:textId="77777777" w:rsidR="00BA7836" w:rsidRPr="005F1809" w:rsidRDefault="00BA7836" w:rsidP="00BA7836">
      <w:pPr>
        <w:pStyle w:val="Ttulo2"/>
        <w:rPr>
          <w:rFonts w:ascii="Arial" w:hAnsi="Arial" w:cs="Arial"/>
          <w:sz w:val="24"/>
          <w:szCs w:val="24"/>
          <w:lang w:eastAsia="es-CO"/>
        </w:rPr>
      </w:pPr>
      <w:r w:rsidRPr="005F1809">
        <w:rPr>
          <w:rFonts w:ascii="Arial" w:hAnsi="Arial" w:cs="Arial"/>
          <w:sz w:val="24"/>
          <w:szCs w:val="24"/>
        </w:rPr>
        <w:t>2.2 Conformación de la Comisión de Seguimiento e Implementación de la Política de Calidad Acústica</w:t>
      </w:r>
    </w:p>
    <w:p w14:paraId="42297152" w14:textId="77777777" w:rsidR="00C7158C" w:rsidRPr="005F1809" w:rsidRDefault="0039784F" w:rsidP="00FA19B1">
      <w:pPr>
        <w:spacing w:before="100" w:beforeAutospacing="1" w:after="100" w:afterAutospacing="1"/>
        <w:rPr>
          <w:rFonts w:cs="Arial"/>
          <w:sz w:val="24"/>
          <w:szCs w:val="24"/>
          <w:lang w:eastAsia="es-CO"/>
        </w:rPr>
      </w:pPr>
      <w:r w:rsidRPr="005F1809">
        <w:rPr>
          <w:rFonts w:cs="Arial"/>
          <w:sz w:val="24"/>
          <w:szCs w:val="24"/>
          <w:lang w:eastAsia="es-CO"/>
        </w:rPr>
        <w:t>Como se mencionó anteriormente, l</w:t>
      </w:r>
      <w:r w:rsidR="00C7158C" w:rsidRPr="005F1809">
        <w:rPr>
          <w:rFonts w:cs="Arial"/>
          <w:sz w:val="24"/>
          <w:szCs w:val="24"/>
          <w:lang w:eastAsia="es-CO"/>
        </w:rPr>
        <w:t xml:space="preserve">a problemática asociada a la contaminación acústica tiene un </w:t>
      </w:r>
      <w:r w:rsidR="00C7158C" w:rsidRPr="005F1809">
        <w:rPr>
          <w:rFonts w:cs="Arial"/>
          <w:bCs/>
          <w:sz w:val="24"/>
          <w:szCs w:val="24"/>
          <w:lang w:eastAsia="es-CO"/>
        </w:rPr>
        <w:t>carácter transversal y multidimensional</w:t>
      </w:r>
      <w:r w:rsidRPr="005F1809">
        <w:rPr>
          <w:rFonts w:cs="Arial"/>
          <w:bCs/>
          <w:sz w:val="24"/>
          <w:szCs w:val="24"/>
          <w:lang w:eastAsia="es-CO"/>
        </w:rPr>
        <w:t>, razón por la cual,</w:t>
      </w:r>
      <w:r w:rsidR="00C7158C" w:rsidRPr="005F1809">
        <w:rPr>
          <w:rFonts w:cs="Arial"/>
          <w:sz w:val="24"/>
          <w:szCs w:val="24"/>
          <w:lang w:eastAsia="es-CO"/>
        </w:rPr>
        <w:t xml:space="preserve"> su abordaje no puede recaer en una única entidad ni limitarse a un solo sector de la administración pública, sino que exige </w:t>
      </w:r>
      <w:r w:rsidR="00C7158C" w:rsidRPr="005F1809">
        <w:rPr>
          <w:rFonts w:cs="Arial"/>
          <w:bCs/>
          <w:sz w:val="24"/>
          <w:szCs w:val="24"/>
          <w:lang w:eastAsia="es-CO"/>
        </w:rPr>
        <w:t>mecanismos efectivos de coordinación interinstitucional e intersectorial</w:t>
      </w:r>
      <w:r w:rsidR="00C7158C" w:rsidRPr="005F1809">
        <w:rPr>
          <w:rFonts w:cs="Arial"/>
          <w:sz w:val="24"/>
          <w:szCs w:val="24"/>
          <w:lang w:eastAsia="es-CO"/>
        </w:rPr>
        <w:t xml:space="preserve"> que permitan una gestión integral, coherente y articulada.</w:t>
      </w:r>
    </w:p>
    <w:p w14:paraId="4AED204B" w14:textId="77777777" w:rsidR="00C7158C" w:rsidRPr="005F1809" w:rsidRDefault="00C7158C" w:rsidP="00FA19B1">
      <w:pPr>
        <w:spacing w:before="100" w:beforeAutospacing="1" w:after="100" w:afterAutospacing="1"/>
        <w:rPr>
          <w:rFonts w:cs="Arial"/>
          <w:sz w:val="24"/>
          <w:szCs w:val="24"/>
          <w:lang w:eastAsia="es-CO"/>
        </w:rPr>
      </w:pPr>
      <w:r w:rsidRPr="005F1809">
        <w:rPr>
          <w:rFonts w:cs="Arial"/>
          <w:sz w:val="24"/>
          <w:szCs w:val="24"/>
        </w:rPr>
        <w:t xml:space="preserve">El artículo 9 de la Ley 2450 de 2025 identifica </w:t>
      </w:r>
      <w:r w:rsidR="0039784F" w:rsidRPr="005F1809">
        <w:rPr>
          <w:rFonts w:cs="Arial"/>
          <w:sz w:val="24"/>
          <w:szCs w:val="24"/>
        </w:rPr>
        <w:t xml:space="preserve">taxativamente </w:t>
      </w:r>
      <w:r w:rsidRPr="005F1809">
        <w:rPr>
          <w:rFonts w:cs="Arial"/>
          <w:sz w:val="24"/>
          <w:szCs w:val="24"/>
        </w:rPr>
        <w:t xml:space="preserve">las entidades que deben integrar la Comisión, incluyendo al Departamento Nacional de Planeación, los Ministerios de Ambiente, Salud, Defensa, Transporte y el IDEAM, así como un amplio grupo de actores invitados, entre ellos ministerios sectoriales, autoridades ambientales, institutos de investigación y entidades adscritas, evidenciando el carácter </w:t>
      </w:r>
      <w:r w:rsidRPr="005F1809">
        <w:rPr>
          <w:rStyle w:val="Textoennegrita"/>
          <w:rFonts w:cs="Arial"/>
          <w:b w:val="0"/>
          <w:sz w:val="24"/>
          <w:szCs w:val="24"/>
        </w:rPr>
        <w:t>intersectorial, transversal y colaborativo</w:t>
      </w:r>
      <w:r w:rsidRPr="005F1809">
        <w:rPr>
          <w:rFonts w:cs="Arial"/>
          <w:sz w:val="24"/>
          <w:szCs w:val="24"/>
        </w:rPr>
        <w:t xml:space="preserve"> de la gestión de la calidad acústica.</w:t>
      </w:r>
    </w:p>
    <w:p w14:paraId="05FCBE5B" w14:textId="77777777" w:rsidR="0038649C" w:rsidRPr="005F1809" w:rsidRDefault="0038649C" w:rsidP="00FA19B1">
      <w:pPr>
        <w:spacing w:before="100" w:beforeAutospacing="1" w:after="100" w:afterAutospacing="1"/>
        <w:rPr>
          <w:rFonts w:cs="Arial"/>
          <w:sz w:val="24"/>
          <w:szCs w:val="24"/>
          <w:lang w:eastAsia="es-CO"/>
        </w:rPr>
      </w:pPr>
      <w:r w:rsidRPr="005F1809">
        <w:rPr>
          <w:rFonts w:cs="Arial"/>
          <w:sz w:val="24"/>
          <w:szCs w:val="24"/>
          <w:lang w:eastAsia="es-CO"/>
        </w:rPr>
        <w:t xml:space="preserve">La conformación propuesta en este decreto </w:t>
      </w:r>
      <w:r w:rsidRPr="005F1809">
        <w:rPr>
          <w:rFonts w:cs="Arial"/>
          <w:bCs/>
          <w:sz w:val="24"/>
          <w:szCs w:val="24"/>
          <w:lang w:eastAsia="es-CO"/>
        </w:rPr>
        <w:t>opera como desarrollo del mandato legal</w:t>
      </w:r>
      <w:r w:rsidRPr="005F1809">
        <w:rPr>
          <w:rFonts w:cs="Arial"/>
          <w:sz w:val="24"/>
          <w:szCs w:val="24"/>
          <w:lang w:eastAsia="es-CO"/>
        </w:rPr>
        <w:t xml:space="preserve">, estableciendo claramente la figura de los </w:t>
      </w:r>
      <w:r w:rsidRPr="005F1809">
        <w:rPr>
          <w:rFonts w:cs="Arial"/>
          <w:bCs/>
          <w:sz w:val="24"/>
          <w:szCs w:val="24"/>
          <w:lang w:eastAsia="es-CO"/>
        </w:rPr>
        <w:t>delegados permanentes con voz y voto</w:t>
      </w:r>
      <w:r w:rsidRPr="005F1809">
        <w:rPr>
          <w:rFonts w:cs="Arial"/>
          <w:sz w:val="24"/>
          <w:szCs w:val="24"/>
          <w:lang w:eastAsia="es-CO"/>
        </w:rPr>
        <w:t xml:space="preserve">, quienes deben contar con capacidad de decisión para garantizar que las deliberaciones de la Comisión se traduzcan en acciones concretas por parte de las entidades representadas. Asimismo, la norma permite la incorporación de </w:t>
      </w:r>
      <w:r w:rsidRPr="005F1809">
        <w:rPr>
          <w:rFonts w:cs="Arial"/>
          <w:bCs/>
          <w:sz w:val="24"/>
          <w:szCs w:val="24"/>
          <w:lang w:eastAsia="es-CO"/>
        </w:rPr>
        <w:t>miembros invitados o transitorios</w:t>
      </w:r>
      <w:r w:rsidRPr="005F1809">
        <w:rPr>
          <w:rFonts w:cs="Arial"/>
          <w:sz w:val="24"/>
          <w:szCs w:val="24"/>
          <w:lang w:eastAsia="es-CO"/>
        </w:rPr>
        <w:t xml:space="preserve"> según la temática a tratar, lo que asegura la participación de actores especializados, organismos de cooperación internacional, academia, sociedad civil y sector privado, fortaleciendo el conocimiento técnico y la pertinencia de las decisiones adoptadas.</w:t>
      </w:r>
    </w:p>
    <w:p w14:paraId="4C1F6C1E" w14:textId="24533000" w:rsidR="0038649C" w:rsidRPr="005F1809" w:rsidRDefault="0038649C" w:rsidP="00FA19B1">
      <w:pPr>
        <w:spacing w:before="100" w:beforeAutospacing="1" w:after="100" w:afterAutospacing="1"/>
        <w:rPr>
          <w:rFonts w:cs="Arial"/>
          <w:sz w:val="24"/>
          <w:szCs w:val="24"/>
          <w:lang w:eastAsia="es-CO"/>
        </w:rPr>
      </w:pPr>
      <w:r w:rsidRPr="005F1809">
        <w:rPr>
          <w:rFonts w:cs="Arial"/>
          <w:sz w:val="24"/>
          <w:szCs w:val="24"/>
          <w:lang w:eastAsia="es-CO"/>
        </w:rPr>
        <w:t xml:space="preserve">La creación de </w:t>
      </w:r>
      <w:proofErr w:type="spellStart"/>
      <w:r w:rsidRPr="005F1809">
        <w:rPr>
          <w:rFonts w:cs="Arial"/>
          <w:bCs/>
          <w:sz w:val="24"/>
          <w:szCs w:val="24"/>
          <w:lang w:eastAsia="es-CO"/>
        </w:rPr>
        <w:t>submesas</w:t>
      </w:r>
      <w:proofErr w:type="spellEnd"/>
      <w:r w:rsidRPr="005F1809">
        <w:rPr>
          <w:rFonts w:cs="Arial"/>
          <w:bCs/>
          <w:sz w:val="24"/>
          <w:szCs w:val="24"/>
          <w:lang w:eastAsia="es-CO"/>
        </w:rPr>
        <w:t xml:space="preserve"> técnicas</w:t>
      </w:r>
      <w:r w:rsidRPr="005F1809">
        <w:rPr>
          <w:rFonts w:cs="Arial"/>
          <w:sz w:val="24"/>
          <w:szCs w:val="24"/>
          <w:lang w:eastAsia="es-CO"/>
        </w:rPr>
        <w:t xml:space="preserve"> se concibe como </w:t>
      </w:r>
      <w:r w:rsidR="00BA7836" w:rsidRPr="005F1809">
        <w:rPr>
          <w:rFonts w:cs="Arial"/>
          <w:sz w:val="24"/>
          <w:szCs w:val="24"/>
          <w:lang w:eastAsia="es-CO"/>
        </w:rPr>
        <w:t>una herramienta</w:t>
      </w:r>
      <w:r w:rsidRPr="005F1809">
        <w:rPr>
          <w:rFonts w:cs="Arial"/>
          <w:sz w:val="24"/>
          <w:szCs w:val="24"/>
          <w:lang w:eastAsia="es-CO"/>
        </w:rPr>
        <w:t xml:space="preserve"> para abordar asuntos específicos, facilitando la generación de recomendaciones técnicas</w:t>
      </w:r>
      <w:r w:rsidR="008B332D" w:rsidRPr="005F1809">
        <w:rPr>
          <w:rFonts w:cs="Arial"/>
          <w:sz w:val="24"/>
          <w:szCs w:val="24"/>
          <w:lang w:eastAsia="es-CO"/>
        </w:rPr>
        <w:t xml:space="preserve"> y</w:t>
      </w:r>
      <w:r w:rsidRPr="005F1809">
        <w:rPr>
          <w:rFonts w:cs="Arial"/>
          <w:sz w:val="24"/>
          <w:szCs w:val="24"/>
          <w:lang w:eastAsia="es-CO"/>
        </w:rPr>
        <w:t xml:space="preserve"> la armonización normativa. De este modo, la Comisión no solo cumple funciones de coordinación y articulación, sino que se convierte en </w:t>
      </w:r>
      <w:r w:rsidRPr="005F1809">
        <w:rPr>
          <w:rFonts w:cs="Arial"/>
          <w:bCs/>
          <w:sz w:val="24"/>
          <w:szCs w:val="24"/>
          <w:lang w:eastAsia="es-CO"/>
        </w:rPr>
        <w:t>un espacio de gobernanza intersectorial</w:t>
      </w:r>
      <w:r w:rsidRPr="005F1809">
        <w:rPr>
          <w:rFonts w:cs="Arial"/>
          <w:sz w:val="24"/>
          <w:szCs w:val="24"/>
          <w:lang w:eastAsia="es-CO"/>
        </w:rPr>
        <w:t>, capaz de consolidar información, priorizar acciones, superar barreras institucionales y promover la implementación coherente de la Política Nacional de Calidad Acústica.</w:t>
      </w:r>
    </w:p>
    <w:p w14:paraId="0DB820B5" w14:textId="5767FD66" w:rsidR="00F31CD4" w:rsidRPr="005F1809" w:rsidRDefault="00F31CD4" w:rsidP="00C367EF">
      <w:pPr>
        <w:spacing w:before="100" w:beforeAutospacing="1" w:after="100" w:afterAutospacing="1"/>
        <w:rPr>
          <w:rFonts w:cs="Arial"/>
          <w:sz w:val="24"/>
          <w:szCs w:val="24"/>
          <w:lang w:eastAsia="es-CO"/>
        </w:rPr>
      </w:pPr>
      <w:r w:rsidRPr="005F1809">
        <w:rPr>
          <w:rFonts w:cs="Arial"/>
          <w:sz w:val="24"/>
          <w:szCs w:val="24"/>
          <w:lang w:eastAsia="es-CO"/>
        </w:rPr>
        <w:t xml:space="preserve">Adicionalmente, la integración de la Comisión y el orden de participación de las entidades que la conforman se estructuran conforme al orden de precedencia sectorial </w:t>
      </w:r>
      <w:r w:rsidR="008E0AFA" w:rsidRPr="005F1809">
        <w:rPr>
          <w:rFonts w:cs="Arial"/>
          <w:sz w:val="24"/>
          <w:szCs w:val="24"/>
          <w:lang w:eastAsia="es-CO"/>
        </w:rPr>
        <w:t>previsto en la Ley 1444 de 2011</w:t>
      </w:r>
      <w:r w:rsidRPr="005F1809">
        <w:rPr>
          <w:rFonts w:cs="Arial"/>
          <w:sz w:val="24"/>
          <w:szCs w:val="24"/>
          <w:lang w:eastAsia="es-CO"/>
        </w:rPr>
        <w:t>, atendiendo la naturaleza y competencias de cada sector administrativo involucrado en la implementación de la Política Nacional de Calidad Acústica. Lo anterior permite mantener coherencia con la estructura de la administración pública nacional y facilitar la articulación intersectorial requerida para el cumplimiento de las funciones asignadas a la Comisión.</w:t>
      </w:r>
    </w:p>
    <w:p w14:paraId="6C83AA8A" w14:textId="2B5D0323" w:rsidR="0038649C" w:rsidRPr="005F1809" w:rsidRDefault="0038649C" w:rsidP="00FA19B1">
      <w:pPr>
        <w:spacing w:before="100" w:beforeAutospacing="1" w:after="100" w:afterAutospacing="1"/>
        <w:rPr>
          <w:rFonts w:cs="Arial"/>
          <w:sz w:val="24"/>
          <w:szCs w:val="24"/>
          <w:lang w:eastAsia="es-CO"/>
        </w:rPr>
      </w:pPr>
      <w:r w:rsidRPr="005F1809">
        <w:rPr>
          <w:rFonts w:cs="Arial"/>
          <w:sz w:val="24"/>
          <w:szCs w:val="24"/>
          <w:lang w:eastAsia="es-CO"/>
        </w:rPr>
        <w:t>Por lo anterior se propone el siguiente artículo:</w:t>
      </w:r>
    </w:p>
    <w:p w14:paraId="6BF002FF" w14:textId="64317094" w:rsidR="00F31CD4" w:rsidRPr="005F1809" w:rsidRDefault="00F31CD4" w:rsidP="00C367EF">
      <w:pPr>
        <w:ind w:left="720"/>
        <w:rPr>
          <w:rFonts w:cs="Arial"/>
          <w:i/>
          <w:sz w:val="24"/>
          <w:szCs w:val="24"/>
        </w:rPr>
      </w:pPr>
      <w:r w:rsidRPr="005F1809">
        <w:rPr>
          <w:rFonts w:cs="Arial"/>
          <w:b/>
          <w:i/>
          <w:sz w:val="24"/>
          <w:szCs w:val="24"/>
        </w:rPr>
        <w:t xml:space="preserve">“Artículo 2. Conformación </w:t>
      </w:r>
      <w:r w:rsidRPr="005F1809">
        <w:rPr>
          <w:rFonts w:cs="Arial"/>
          <w:b/>
          <w:bCs/>
          <w:i/>
          <w:sz w:val="24"/>
          <w:szCs w:val="24"/>
        </w:rPr>
        <w:t>de la Comisión Técnica de Seguimiento e Implementación de la política de calidad acústica.</w:t>
      </w:r>
      <w:r w:rsidRPr="005F1809">
        <w:rPr>
          <w:rFonts w:cs="Arial"/>
          <w:b/>
          <w:i/>
          <w:sz w:val="24"/>
          <w:szCs w:val="24"/>
        </w:rPr>
        <w:t xml:space="preserve"> </w:t>
      </w:r>
      <w:r w:rsidRPr="005F1809">
        <w:rPr>
          <w:rFonts w:cs="Arial"/>
          <w:i/>
          <w:sz w:val="24"/>
          <w:szCs w:val="24"/>
        </w:rPr>
        <w:t>La Comisión Intersectorial estará conformada por los siguientes miembros permanentes</w:t>
      </w:r>
      <w:r w:rsidR="005F1809" w:rsidRPr="005F1809">
        <w:rPr>
          <w:rFonts w:cs="Arial"/>
          <w:i/>
          <w:sz w:val="24"/>
          <w:szCs w:val="24"/>
        </w:rPr>
        <w:t xml:space="preserve">, quienes actuarán </w:t>
      </w:r>
      <w:r w:rsidRPr="005F1809">
        <w:rPr>
          <w:rFonts w:cs="Arial"/>
          <w:i/>
          <w:sz w:val="24"/>
          <w:szCs w:val="24"/>
        </w:rPr>
        <w:t>con voz y voto:</w:t>
      </w:r>
    </w:p>
    <w:p w14:paraId="71AFDA95" w14:textId="77777777" w:rsidR="00F31CD4" w:rsidRPr="005F1809" w:rsidRDefault="00F31CD4" w:rsidP="00C367EF">
      <w:pPr>
        <w:ind w:left="720"/>
        <w:rPr>
          <w:rFonts w:cs="Arial"/>
          <w:i/>
          <w:sz w:val="24"/>
          <w:szCs w:val="24"/>
        </w:rPr>
      </w:pPr>
    </w:p>
    <w:p w14:paraId="7B98614F" w14:textId="77777777" w:rsidR="005F1809" w:rsidRPr="005F1809" w:rsidRDefault="005F1809" w:rsidP="005F1809">
      <w:pPr>
        <w:numPr>
          <w:ilvl w:val="0"/>
          <w:numId w:val="10"/>
        </w:numPr>
        <w:rPr>
          <w:rFonts w:cs="Arial"/>
          <w:bCs/>
          <w:i/>
          <w:sz w:val="24"/>
          <w:szCs w:val="24"/>
        </w:rPr>
      </w:pPr>
      <w:r w:rsidRPr="005F1809">
        <w:rPr>
          <w:rFonts w:cs="Arial"/>
          <w:bCs/>
          <w:i/>
          <w:sz w:val="24"/>
          <w:szCs w:val="24"/>
        </w:rPr>
        <w:t>El Ministro de Defensa Nacional o su delegado</w:t>
      </w:r>
    </w:p>
    <w:p w14:paraId="1FDA0239" w14:textId="77777777" w:rsidR="005F1809" w:rsidRPr="005F1809" w:rsidRDefault="005F1809" w:rsidP="005F1809">
      <w:pPr>
        <w:numPr>
          <w:ilvl w:val="0"/>
          <w:numId w:val="10"/>
        </w:numPr>
        <w:rPr>
          <w:rFonts w:cs="Arial"/>
          <w:bCs/>
          <w:i/>
          <w:sz w:val="24"/>
          <w:szCs w:val="24"/>
        </w:rPr>
      </w:pPr>
      <w:r w:rsidRPr="005F1809">
        <w:rPr>
          <w:rFonts w:cs="Arial"/>
          <w:bCs/>
          <w:i/>
          <w:sz w:val="24"/>
          <w:szCs w:val="24"/>
        </w:rPr>
        <w:t>El Ministro de Salud y Protección Social o su delegado</w:t>
      </w:r>
    </w:p>
    <w:p w14:paraId="0993F530" w14:textId="77777777" w:rsidR="005F1809" w:rsidRPr="005F1809" w:rsidRDefault="005F1809" w:rsidP="005F1809">
      <w:pPr>
        <w:numPr>
          <w:ilvl w:val="0"/>
          <w:numId w:val="10"/>
        </w:numPr>
        <w:rPr>
          <w:rFonts w:cs="Arial"/>
          <w:bCs/>
          <w:i/>
          <w:sz w:val="24"/>
          <w:szCs w:val="24"/>
        </w:rPr>
      </w:pPr>
      <w:r w:rsidRPr="005F1809">
        <w:rPr>
          <w:rFonts w:cs="Arial"/>
          <w:bCs/>
          <w:i/>
          <w:sz w:val="24"/>
          <w:szCs w:val="24"/>
        </w:rPr>
        <w:t>El Ministro de Ambiente y Desarrollo Sostenible o su delegado</w:t>
      </w:r>
    </w:p>
    <w:p w14:paraId="0C31F9EC" w14:textId="77777777" w:rsidR="005F1809" w:rsidRPr="005F1809" w:rsidRDefault="005F1809" w:rsidP="005F1809">
      <w:pPr>
        <w:numPr>
          <w:ilvl w:val="0"/>
          <w:numId w:val="10"/>
        </w:numPr>
        <w:rPr>
          <w:rFonts w:cs="Arial"/>
          <w:bCs/>
          <w:i/>
          <w:sz w:val="24"/>
          <w:szCs w:val="24"/>
        </w:rPr>
      </w:pPr>
      <w:r w:rsidRPr="005F1809">
        <w:rPr>
          <w:rFonts w:cs="Arial"/>
          <w:bCs/>
          <w:i/>
          <w:sz w:val="24"/>
          <w:szCs w:val="24"/>
        </w:rPr>
        <w:t>El Ministro de Transporte o su delegado</w:t>
      </w:r>
    </w:p>
    <w:p w14:paraId="744D9126" w14:textId="77777777" w:rsidR="005F1809" w:rsidRPr="005F1809" w:rsidRDefault="005F1809" w:rsidP="005F1809">
      <w:pPr>
        <w:numPr>
          <w:ilvl w:val="0"/>
          <w:numId w:val="10"/>
        </w:numPr>
        <w:rPr>
          <w:rFonts w:cs="Arial"/>
          <w:bCs/>
          <w:i/>
          <w:sz w:val="24"/>
          <w:szCs w:val="24"/>
        </w:rPr>
      </w:pPr>
      <w:r w:rsidRPr="005F1809">
        <w:rPr>
          <w:rFonts w:cs="Arial"/>
          <w:bCs/>
          <w:i/>
          <w:sz w:val="24"/>
          <w:szCs w:val="24"/>
        </w:rPr>
        <w:t>El Director del Instituto de Hidrología, Meteorología y Estudios Ambientales – IDEAM o su delegado</w:t>
      </w:r>
    </w:p>
    <w:p w14:paraId="5EC64468" w14:textId="77777777" w:rsidR="005F1809" w:rsidRPr="005F1809" w:rsidRDefault="005F1809" w:rsidP="005F1809">
      <w:pPr>
        <w:numPr>
          <w:ilvl w:val="0"/>
          <w:numId w:val="10"/>
        </w:numPr>
        <w:rPr>
          <w:rFonts w:cs="Arial"/>
          <w:bCs/>
          <w:i/>
          <w:sz w:val="24"/>
          <w:szCs w:val="24"/>
        </w:rPr>
      </w:pPr>
      <w:r w:rsidRPr="005F1809">
        <w:rPr>
          <w:rFonts w:cs="Arial"/>
          <w:bCs/>
          <w:i/>
          <w:sz w:val="24"/>
          <w:szCs w:val="24"/>
        </w:rPr>
        <w:t>El Director del Departamento Nacional de Planeación (DNP) o su delegado.</w:t>
      </w:r>
    </w:p>
    <w:p w14:paraId="0F9364D7" w14:textId="1C7FCB9B" w:rsidR="00F31CD4" w:rsidRPr="005F1809" w:rsidRDefault="00F31CD4" w:rsidP="00C367EF">
      <w:pPr>
        <w:ind w:left="720"/>
        <w:rPr>
          <w:rFonts w:cs="Arial"/>
          <w:i/>
          <w:sz w:val="24"/>
          <w:szCs w:val="24"/>
        </w:rPr>
      </w:pPr>
    </w:p>
    <w:p w14:paraId="6DB2B360" w14:textId="77777777" w:rsidR="005F1809" w:rsidRPr="005F1809" w:rsidRDefault="005F1809" w:rsidP="00C367EF">
      <w:pPr>
        <w:ind w:left="720"/>
        <w:rPr>
          <w:rFonts w:cs="Arial"/>
          <w:i/>
          <w:sz w:val="24"/>
          <w:szCs w:val="24"/>
        </w:rPr>
      </w:pPr>
    </w:p>
    <w:p w14:paraId="32F77286" w14:textId="38129F21" w:rsidR="00F31CD4" w:rsidRPr="005F1809" w:rsidRDefault="00F31CD4" w:rsidP="00C367EF">
      <w:pPr>
        <w:tabs>
          <w:tab w:val="left" w:pos="4536"/>
        </w:tabs>
        <w:ind w:left="720"/>
        <w:rPr>
          <w:rFonts w:cs="Arial"/>
          <w:b/>
          <w:i/>
          <w:sz w:val="24"/>
          <w:szCs w:val="24"/>
        </w:rPr>
      </w:pPr>
      <w:r w:rsidRPr="005F1809">
        <w:rPr>
          <w:rFonts w:cs="Arial"/>
          <w:b/>
          <w:bCs/>
          <w:i/>
          <w:sz w:val="24"/>
          <w:szCs w:val="24"/>
        </w:rPr>
        <w:t>Parágrafo 1.</w:t>
      </w:r>
      <w:r w:rsidRPr="005F1809">
        <w:rPr>
          <w:rFonts w:cs="Arial"/>
          <w:b/>
          <w:i/>
          <w:sz w:val="24"/>
          <w:szCs w:val="24"/>
        </w:rPr>
        <w:t xml:space="preserve"> </w:t>
      </w:r>
      <w:r w:rsidRPr="005F1809">
        <w:rPr>
          <w:rFonts w:cs="Arial"/>
          <w:bCs/>
          <w:i/>
          <w:sz w:val="24"/>
          <w:szCs w:val="24"/>
        </w:rPr>
        <w:t>Tendrán la calidad de invitados permanentes de la Comisión</w:t>
      </w:r>
      <w:r w:rsidRPr="005F1809">
        <w:rPr>
          <w:rFonts w:cs="Arial"/>
          <w:b/>
          <w:i/>
          <w:sz w:val="24"/>
          <w:szCs w:val="24"/>
        </w:rPr>
        <w:t xml:space="preserve">, </w:t>
      </w:r>
      <w:r w:rsidRPr="005F1809">
        <w:rPr>
          <w:rFonts w:cs="Arial"/>
          <w:bCs/>
          <w:i/>
          <w:sz w:val="24"/>
          <w:szCs w:val="24"/>
        </w:rPr>
        <w:t xml:space="preserve">en el marco de sus funciones, y la Comisión deberá articular y convocar, según la temática a tratar, a las siguientes entidades, quienes participarán con derecho a </w:t>
      </w:r>
      <w:r w:rsidR="008E0AFA" w:rsidRPr="005F1809">
        <w:rPr>
          <w:rFonts w:cs="Arial"/>
          <w:bCs/>
          <w:i/>
          <w:sz w:val="24"/>
          <w:szCs w:val="24"/>
        </w:rPr>
        <w:t>voz,</w:t>
      </w:r>
      <w:r w:rsidRPr="005F1809">
        <w:rPr>
          <w:rFonts w:cs="Arial"/>
          <w:bCs/>
          <w:i/>
          <w:sz w:val="24"/>
          <w:szCs w:val="24"/>
        </w:rPr>
        <w:t xml:space="preserve"> pero sin voto:</w:t>
      </w:r>
    </w:p>
    <w:p w14:paraId="73E8378D" w14:textId="77777777" w:rsidR="005F1809" w:rsidRPr="005F1809" w:rsidRDefault="005F1809" w:rsidP="005F1809">
      <w:pPr>
        <w:rPr>
          <w:rFonts w:cs="Arial"/>
          <w:bCs/>
          <w:i/>
          <w:sz w:val="24"/>
          <w:szCs w:val="24"/>
        </w:rPr>
      </w:pPr>
    </w:p>
    <w:p w14:paraId="31F43E12" w14:textId="1A89160C" w:rsidR="005F1809" w:rsidRPr="005F1809" w:rsidRDefault="005F1809" w:rsidP="005F1809">
      <w:pPr>
        <w:pStyle w:val="Prrafodelista"/>
        <w:numPr>
          <w:ilvl w:val="0"/>
          <w:numId w:val="12"/>
        </w:numPr>
        <w:rPr>
          <w:rFonts w:cs="Arial"/>
          <w:bCs/>
          <w:i/>
          <w:sz w:val="24"/>
          <w:szCs w:val="24"/>
        </w:rPr>
      </w:pPr>
      <w:r w:rsidRPr="005F1809">
        <w:rPr>
          <w:rFonts w:cs="Arial"/>
          <w:bCs/>
          <w:i/>
          <w:sz w:val="24"/>
          <w:szCs w:val="24"/>
        </w:rPr>
        <w:t>El Ministro del Interior o su delegado</w:t>
      </w:r>
    </w:p>
    <w:p w14:paraId="01FE0891"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Ministro del Trabajo o su delegado</w:t>
      </w:r>
    </w:p>
    <w:p w14:paraId="099B55DB"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Ministro de Comercio, Industria y Turismo o su delegado</w:t>
      </w:r>
    </w:p>
    <w:p w14:paraId="2739685C"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Ministro de Educación Nacional o su delegado</w:t>
      </w:r>
    </w:p>
    <w:p w14:paraId="60656BED"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Ministro de Vivienda, Ciudad y Territorio o su delegado</w:t>
      </w:r>
    </w:p>
    <w:p w14:paraId="2DEA3DE0"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Ministro de Tecnologías de la Información y las Comunicaciones o su delegado</w:t>
      </w:r>
    </w:p>
    <w:p w14:paraId="0E548335"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Ministro de las Culturas, las Artes y los Saberes o su delegado</w:t>
      </w:r>
    </w:p>
    <w:p w14:paraId="5B3A5102"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Ministro de Ciencia, Tecnología e Innovación o su delegado</w:t>
      </w:r>
    </w:p>
    <w:p w14:paraId="6742A1E0"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Director de la Unidad Administrativa Especial de Aeronáutica Civil</w:t>
      </w:r>
    </w:p>
    <w:p w14:paraId="0248FAA7" w14:textId="77777777" w:rsidR="005F1809" w:rsidRPr="005F1809" w:rsidRDefault="005F1809" w:rsidP="005F1809">
      <w:pPr>
        <w:numPr>
          <w:ilvl w:val="0"/>
          <w:numId w:val="12"/>
        </w:numPr>
        <w:rPr>
          <w:rFonts w:cs="Arial"/>
          <w:bCs/>
          <w:i/>
          <w:sz w:val="24"/>
          <w:szCs w:val="24"/>
        </w:rPr>
      </w:pPr>
      <w:r w:rsidRPr="005F1809">
        <w:rPr>
          <w:rFonts w:cs="Arial"/>
          <w:bCs/>
          <w:i/>
          <w:sz w:val="24"/>
          <w:szCs w:val="24"/>
        </w:rPr>
        <w:t>El Director del Instituto Nacional de Metrología o su delegado</w:t>
      </w:r>
    </w:p>
    <w:p w14:paraId="452603A8" w14:textId="77777777" w:rsidR="005F1809" w:rsidRPr="005F1809" w:rsidRDefault="005F1809" w:rsidP="005F1809">
      <w:pPr>
        <w:numPr>
          <w:ilvl w:val="0"/>
          <w:numId w:val="12"/>
        </w:numPr>
        <w:rPr>
          <w:rFonts w:cs="Arial"/>
          <w:bCs/>
          <w:i/>
          <w:sz w:val="24"/>
          <w:szCs w:val="24"/>
        </w:rPr>
      </w:pPr>
      <w:r w:rsidRPr="005F1809">
        <w:rPr>
          <w:rFonts w:cs="Arial"/>
          <w:bCs/>
          <w:i/>
          <w:sz w:val="24"/>
          <w:szCs w:val="24"/>
        </w:rPr>
        <w:t xml:space="preserve">El Director de la Autoridad Nacional de Licencias - </w:t>
      </w:r>
      <w:proofErr w:type="spellStart"/>
      <w:r w:rsidRPr="005F1809">
        <w:rPr>
          <w:rFonts w:cs="Arial"/>
          <w:bCs/>
          <w:i/>
          <w:sz w:val="24"/>
          <w:szCs w:val="24"/>
        </w:rPr>
        <w:t>Anla</w:t>
      </w:r>
      <w:proofErr w:type="spellEnd"/>
      <w:r w:rsidRPr="005F1809">
        <w:rPr>
          <w:rFonts w:cs="Arial"/>
          <w:bCs/>
          <w:i/>
          <w:sz w:val="24"/>
          <w:szCs w:val="24"/>
        </w:rPr>
        <w:t xml:space="preserve"> o su delegado</w:t>
      </w:r>
    </w:p>
    <w:p w14:paraId="7D105A84" w14:textId="77777777" w:rsidR="005F1809" w:rsidRPr="005F1809" w:rsidRDefault="005F1809" w:rsidP="005F1809">
      <w:pPr>
        <w:numPr>
          <w:ilvl w:val="0"/>
          <w:numId w:val="12"/>
        </w:numPr>
        <w:rPr>
          <w:rFonts w:cs="Arial"/>
          <w:bCs/>
          <w:i/>
          <w:sz w:val="24"/>
          <w:szCs w:val="24"/>
        </w:rPr>
      </w:pPr>
      <w:r w:rsidRPr="005F1809">
        <w:rPr>
          <w:rFonts w:cs="Arial"/>
          <w:bCs/>
          <w:i/>
          <w:sz w:val="24"/>
          <w:szCs w:val="24"/>
        </w:rPr>
        <w:t xml:space="preserve">El Director del Instituto de Investigaciones de Recursos Biológicos Alexander Von Humboldt o su delegado </w:t>
      </w:r>
    </w:p>
    <w:p w14:paraId="7BAEE58E" w14:textId="23793C70" w:rsidR="005F1809" w:rsidRPr="005F1809" w:rsidRDefault="005F1809" w:rsidP="005F1809">
      <w:pPr>
        <w:numPr>
          <w:ilvl w:val="0"/>
          <w:numId w:val="12"/>
        </w:numPr>
        <w:rPr>
          <w:rFonts w:cs="Arial"/>
          <w:bCs/>
          <w:i/>
          <w:sz w:val="24"/>
          <w:szCs w:val="24"/>
        </w:rPr>
      </w:pPr>
      <w:r w:rsidRPr="005F1809">
        <w:rPr>
          <w:rFonts w:cs="Arial"/>
          <w:bCs/>
          <w:i/>
          <w:sz w:val="24"/>
          <w:szCs w:val="24"/>
        </w:rPr>
        <w:t>Las entidades e institutos adscritos o vinculados a los ministerios mencionados que actúen como miembros o invitados, conforme a sus competencias.</w:t>
      </w:r>
    </w:p>
    <w:p w14:paraId="342C416C" w14:textId="77777777" w:rsidR="00F31CD4" w:rsidRPr="005F1809" w:rsidRDefault="00F31CD4" w:rsidP="00C367EF">
      <w:pPr>
        <w:ind w:left="720"/>
        <w:rPr>
          <w:rFonts w:cs="Arial"/>
          <w:b/>
          <w:i/>
          <w:sz w:val="24"/>
          <w:szCs w:val="24"/>
        </w:rPr>
      </w:pPr>
    </w:p>
    <w:p w14:paraId="20D688B4" w14:textId="6DFC901A" w:rsidR="00F31CD4" w:rsidRPr="005F1809" w:rsidRDefault="00F31CD4" w:rsidP="00C367EF">
      <w:pPr>
        <w:ind w:left="720"/>
        <w:rPr>
          <w:rFonts w:cs="Arial"/>
          <w:i/>
          <w:sz w:val="24"/>
          <w:szCs w:val="24"/>
        </w:rPr>
      </w:pPr>
      <w:r w:rsidRPr="005F1809">
        <w:rPr>
          <w:rFonts w:cs="Arial"/>
          <w:b/>
          <w:i/>
          <w:sz w:val="24"/>
          <w:szCs w:val="24"/>
        </w:rPr>
        <w:t>Parágrafo 2:</w:t>
      </w:r>
      <w:r w:rsidRPr="005F1809">
        <w:rPr>
          <w:rFonts w:cs="Arial"/>
          <w:i/>
          <w:sz w:val="24"/>
          <w:szCs w:val="24"/>
        </w:rPr>
        <w:t xml:space="preserve"> También podrán ser invitados transitorios a las sesiones de la Comisión, los funcionarios del orden nacional o territorial, o particulares que se requieran para la mejor comprensión de los asuntos a tratar, quienes asistirán con </w:t>
      </w:r>
      <w:r w:rsidR="008E0AFA" w:rsidRPr="005F1809">
        <w:rPr>
          <w:rFonts w:cs="Arial"/>
          <w:i/>
          <w:sz w:val="24"/>
          <w:szCs w:val="24"/>
        </w:rPr>
        <w:t>voz,</w:t>
      </w:r>
      <w:r w:rsidRPr="005F1809">
        <w:rPr>
          <w:rFonts w:cs="Arial"/>
          <w:i/>
          <w:sz w:val="24"/>
          <w:szCs w:val="24"/>
        </w:rPr>
        <w:t xml:space="preserve"> pero sin voto, de acuerdo con los temas abordados y conforme a los principios de participación, complementariedad y coordinación interinstitucional.</w:t>
      </w:r>
    </w:p>
    <w:p w14:paraId="61472B45" w14:textId="77777777" w:rsidR="00F31CD4" w:rsidRPr="005F1809" w:rsidRDefault="00F31CD4" w:rsidP="00C367EF">
      <w:pPr>
        <w:ind w:left="720"/>
        <w:rPr>
          <w:rFonts w:cs="Arial"/>
          <w:b/>
          <w:i/>
          <w:sz w:val="24"/>
          <w:szCs w:val="24"/>
        </w:rPr>
      </w:pPr>
    </w:p>
    <w:p w14:paraId="0253D3A8" w14:textId="109B6381" w:rsidR="00F31CD4" w:rsidRPr="005F1809" w:rsidRDefault="00F31CD4" w:rsidP="00C367EF">
      <w:pPr>
        <w:ind w:left="720"/>
        <w:rPr>
          <w:rFonts w:cs="Arial"/>
          <w:i/>
          <w:sz w:val="24"/>
          <w:szCs w:val="24"/>
        </w:rPr>
      </w:pPr>
      <w:r w:rsidRPr="005F1809">
        <w:rPr>
          <w:rFonts w:cs="Arial"/>
          <w:b/>
          <w:i/>
          <w:sz w:val="24"/>
          <w:szCs w:val="24"/>
        </w:rPr>
        <w:t>Parágrafo 3.</w:t>
      </w:r>
      <w:r w:rsidRPr="005F1809">
        <w:rPr>
          <w:rFonts w:cs="Arial"/>
          <w:i/>
          <w:sz w:val="24"/>
          <w:szCs w:val="24"/>
        </w:rPr>
        <w:t xml:space="preserve"> Para el cumplimiento de las funciones de la comisión se podrán constituir </w:t>
      </w:r>
      <w:proofErr w:type="spellStart"/>
      <w:r w:rsidRPr="005F1809">
        <w:rPr>
          <w:rFonts w:cs="Arial"/>
          <w:i/>
          <w:sz w:val="24"/>
          <w:szCs w:val="24"/>
        </w:rPr>
        <w:t>submesas</w:t>
      </w:r>
      <w:proofErr w:type="spellEnd"/>
      <w:r w:rsidRPr="005F1809">
        <w:rPr>
          <w:rFonts w:cs="Arial"/>
          <w:i/>
          <w:sz w:val="24"/>
          <w:szCs w:val="24"/>
        </w:rPr>
        <w:t xml:space="preserve"> técnicas integradas por los profesionales designados por los miembros permanentes o invitados permanentes.</w:t>
      </w:r>
    </w:p>
    <w:p w14:paraId="64EB827C" w14:textId="77777777" w:rsidR="00F31CD4" w:rsidRPr="005F1809" w:rsidRDefault="00F31CD4" w:rsidP="00C367EF">
      <w:pPr>
        <w:ind w:left="720"/>
        <w:rPr>
          <w:rFonts w:cs="Arial"/>
          <w:i/>
          <w:sz w:val="24"/>
          <w:szCs w:val="24"/>
        </w:rPr>
      </w:pPr>
    </w:p>
    <w:p w14:paraId="39F9C091" w14:textId="63041FEC" w:rsidR="00F31CD4" w:rsidRPr="005F1809" w:rsidRDefault="00F31CD4" w:rsidP="00C367EF">
      <w:pPr>
        <w:ind w:left="720"/>
        <w:rPr>
          <w:rFonts w:cs="Arial"/>
          <w:sz w:val="24"/>
          <w:szCs w:val="24"/>
        </w:rPr>
      </w:pPr>
      <w:r w:rsidRPr="005F1809">
        <w:rPr>
          <w:rFonts w:cs="Arial"/>
          <w:b/>
          <w:bCs/>
          <w:i/>
          <w:sz w:val="24"/>
          <w:szCs w:val="24"/>
        </w:rPr>
        <w:t>Parágrafo 4</w:t>
      </w:r>
      <w:r w:rsidRPr="005F1809">
        <w:rPr>
          <w:rFonts w:cs="Arial"/>
          <w:i/>
          <w:sz w:val="24"/>
          <w:szCs w:val="24"/>
        </w:rPr>
        <w:t>. Los delegados institucionales deberán contar con capacidad de decisión. La delegación deberá realizarse por escrito y ser entregada a la Secretaría Técnica de la Comisión.”</w:t>
      </w:r>
    </w:p>
    <w:p w14:paraId="29B8F280" w14:textId="77777777" w:rsidR="00390C8F" w:rsidRPr="005F1809" w:rsidRDefault="00390C8F" w:rsidP="00390C8F">
      <w:pPr>
        <w:rPr>
          <w:rFonts w:cs="Arial"/>
          <w:sz w:val="24"/>
          <w:szCs w:val="24"/>
        </w:rPr>
      </w:pPr>
    </w:p>
    <w:p w14:paraId="373BD9D7" w14:textId="77777777" w:rsidR="00BA7836" w:rsidRPr="005F1809" w:rsidRDefault="00BA7836" w:rsidP="00BA7836">
      <w:pPr>
        <w:pStyle w:val="Ttulo2"/>
        <w:rPr>
          <w:rFonts w:ascii="Arial" w:hAnsi="Arial" w:cs="Arial"/>
          <w:sz w:val="24"/>
          <w:szCs w:val="24"/>
        </w:rPr>
      </w:pPr>
      <w:r w:rsidRPr="005F1809">
        <w:rPr>
          <w:rFonts w:ascii="Arial" w:hAnsi="Arial" w:cs="Arial"/>
          <w:sz w:val="24"/>
          <w:szCs w:val="24"/>
        </w:rPr>
        <w:t>2.3 Funciones de la comisión</w:t>
      </w:r>
    </w:p>
    <w:p w14:paraId="0E20CF92" w14:textId="6A4BFC02" w:rsidR="00390C8F" w:rsidRPr="005F1809" w:rsidRDefault="00390C8F" w:rsidP="00297C14">
      <w:pPr>
        <w:pStyle w:val="NormalWeb"/>
        <w:jc w:val="both"/>
        <w:rPr>
          <w:rFonts w:ascii="Arial" w:hAnsi="Arial" w:cs="Arial"/>
        </w:rPr>
      </w:pPr>
      <w:r w:rsidRPr="005F1809">
        <w:rPr>
          <w:rFonts w:ascii="Arial" w:hAnsi="Arial" w:cs="Arial"/>
        </w:rPr>
        <w:t xml:space="preserve">La Comisión requiere asumir un conjunto de funciones que permitan garantizar la implementación de la política, coordinando los distintos actores involucrados y asegurando la coherencia de las acciones a nivel nacional y territorial. La complejidad y el carácter </w:t>
      </w:r>
      <w:r w:rsidRPr="005F1809">
        <w:rPr>
          <w:rStyle w:val="Textoennegrita"/>
          <w:rFonts w:ascii="Arial" w:hAnsi="Arial" w:cs="Arial"/>
          <w:b w:val="0"/>
        </w:rPr>
        <w:t>transversal</w:t>
      </w:r>
      <w:r w:rsidRPr="005F1809">
        <w:rPr>
          <w:rFonts w:ascii="Arial" w:hAnsi="Arial" w:cs="Arial"/>
        </w:rPr>
        <w:t xml:space="preserve"> de la contaminación acústica demandan que la Comisión actúe como instancia </w:t>
      </w:r>
      <w:r w:rsidRPr="005F1809">
        <w:rPr>
          <w:rStyle w:val="Textoennegrita"/>
          <w:rFonts w:ascii="Arial" w:hAnsi="Arial" w:cs="Arial"/>
          <w:b w:val="0"/>
        </w:rPr>
        <w:t>articuladora, asesora y consultiva</w:t>
      </w:r>
      <w:r w:rsidRPr="005F1809">
        <w:rPr>
          <w:rFonts w:ascii="Arial" w:hAnsi="Arial" w:cs="Arial"/>
        </w:rPr>
        <w:t>, capaz de integrar criterios técnicos, normativos y estratégicos de múltiples sectores y entidades</w:t>
      </w:r>
      <w:r w:rsidR="008B332D" w:rsidRPr="005F1809">
        <w:rPr>
          <w:rFonts w:ascii="Arial" w:hAnsi="Arial" w:cs="Arial"/>
        </w:rPr>
        <w:t>.</w:t>
      </w:r>
    </w:p>
    <w:p w14:paraId="1BC7CBF0" w14:textId="77777777" w:rsidR="00390C8F" w:rsidRPr="005F1809" w:rsidRDefault="00390C8F" w:rsidP="00297C14">
      <w:pPr>
        <w:pStyle w:val="NormalWeb"/>
        <w:jc w:val="both"/>
        <w:rPr>
          <w:rFonts w:ascii="Arial" w:hAnsi="Arial" w:cs="Arial"/>
        </w:rPr>
      </w:pPr>
      <w:r w:rsidRPr="005F1809">
        <w:rPr>
          <w:rFonts w:ascii="Arial" w:hAnsi="Arial" w:cs="Arial"/>
        </w:rPr>
        <w:t xml:space="preserve">Es necesario establecer funciones que permitan realizar un seguimiento periódico de la implementación de la política, monitorear avances y resultados, identificar barreras y proponer soluciones para superar desafíos normativos, institucionales o técnicos. Asimismo, la Comisión debe garantizar la armonización de normas y reglamentos sectoriales, promoviendo la coordinación entre entidades del orden nacional y territorial y </w:t>
      </w:r>
      <w:r w:rsidRPr="005F1809">
        <w:rPr>
          <w:rStyle w:val="Textoennegrita"/>
          <w:rFonts w:ascii="Arial" w:hAnsi="Arial" w:cs="Arial"/>
          <w:b w:val="0"/>
        </w:rPr>
        <w:t>fortaleciendo las capacidades institucionales y técnicas de los actores involucrados</w:t>
      </w:r>
      <w:r w:rsidRPr="005F1809">
        <w:rPr>
          <w:rFonts w:ascii="Arial" w:hAnsi="Arial" w:cs="Arial"/>
        </w:rPr>
        <w:t>, asegurando la coherencia de las acciones con los objetivos y líneas de acción definidas en la Ley 2450 de 2025.</w:t>
      </w:r>
    </w:p>
    <w:p w14:paraId="5AE77CFE" w14:textId="5D7F28C1" w:rsidR="008B332D" w:rsidRPr="005F1809" w:rsidRDefault="00390C8F" w:rsidP="00297C14">
      <w:pPr>
        <w:pStyle w:val="NormalWeb"/>
        <w:jc w:val="both"/>
        <w:rPr>
          <w:rFonts w:ascii="Arial" w:hAnsi="Arial" w:cs="Arial"/>
        </w:rPr>
      </w:pPr>
      <w:r w:rsidRPr="005F1809">
        <w:rPr>
          <w:rFonts w:ascii="Arial" w:hAnsi="Arial" w:cs="Arial"/>
        </w:rPr>
        <w:t xml:space="preserve">La inclusión de funciones orientadas a la participación y concertación de actores públicos y privados, sociedad civil, academia y centros de investigación </w:t>
      </w:r>
      <w:r w:rsidR="00CB2D5E" w:rsidRPr="005F1809">
        <w:rPr>
          <w:rFonts w:ascii="Arial" w:hAnsi="Arial" w:cs="Arial"/>
        </w:rPr>
        <w:t xml:space="preserve">entre otros, </w:t>
      </w:r>
      <w:r w:rsidRPr="005F1809">
        <w:rPr>
          <w:rFonts w:ascii="Arial" w:hAnsi="Arial" w:cs="Arial"/>
        </w:rPr>
        <w:t xml:space="preserve">responde a la necesidad de consolidar un enfoque inclusivo y colaborativo, que permita generar consensos y aprovechar el conocimiento técnico y científico disponible. </w:t>
      </w:r>
    </w:p>
    <w:p w14:paraId="7DB30F0F" w14:textId="77777777" w:rsidR="00417AA6" w:rsidRPr="005F1809" w:rsidRDefault="008B332D" w:rsidP="00297C14">
      <w:pPr>
        <w:pStyle w:val="NormalWeb"/>
        <w:jc w:val="both"/>
        <w:rPr>
          <w:rFonts w:ascii="Arial" w:hAnsi="Arial" w:cs="Arial"/>
        </w:rPr>
      </w:pPr>
      <w:r w:rsidRPr="005F1809">
        <w:rPr>
          <w:rFonts w:ascii="Arial" w:hAnsi="Arial" w:cs="Arial"/>
        </w:rPr>
        <w:t>F</w:t>
      </w:r>
      <w:r w:rsidR="00530CDA" w:rsidRPr="005F1809">
        <w:rPr>
          <w:rFonts w:ascii="Arial" w:hAnsi="Arial" w:cs="Arial"/>
        </w:rPr>
        <w:t>inalmente,</w:t>
      </w:r>
      <w:r w:rsidR="00417AA6" w:rsidRPr="005F1809">
        <w:rPr>
          <w:rFonts w:ascii="Arial" w:hAnsi="Arial" w:cs="Arial"/>
        </w:rPr>
        <w:t xml:space="preserve"> en atención a lo dispuesto en el </w:t>
      </w:r>
      <w:r w:rsidR="00417AA6" w:rsidRPr="005F1809">
        <w:rPr>
          <w:rStyle w:val="Textoennegrita"/>
          <w:rFonts w:ascii="Arial" w:hAnsi="Arial" w:cs="Arial"/>
          <w:b w:val="0"/>
        </w:rPr>
        <w:t>Parágrafo 2º del artículo 9 de la Ley 2450 de 2025</w:t>
      </w:r>
      <w:r w:rsidR="00417AA6" w:rsidRPr="005F1809">
        <w:rPr>
          <w:rFonts w:ascii="Arial" w:hAnsi="Arial" w:cs="Arial"/>
        </w:rPr>
        <w:t xml:space="preserve">, se hace necesario que la Comisión cuente con funciones orientadas a </w:t>
      </w:r>
      <w:r w:rsidR="00417AA6" w:rsidRPr="005F1809">
        <w:rPr>
          <w:rStyle w:val="Textoennegrita"/>
          <w:rFonts w:ascii="Arial" w:hAnsi="Arial" w:cs="Arial"/>
          <w:b w:val="0"/>
        </w:rPr>
        <w:t>consolidar, articular y validar los insumos técnicos, estratégicos y de seguimiento</w:t>
      </w:r>
      <w:r w:rsidR="00417AA6" w:rsidRPr="005F1809">
        <w:rPr>
          <w:rFonts w:ascii="Arial" w:hAnsi="Arial" w:cs="Arial"/>
        </w:rPr>
        <w:t xml:space="preserve"> que serán remitidos por la Secretaría Técnica para la elaboración y presentación del informe anual al Congreso de la República y a la Pr</w:t>
      </w:r>
      <w:r w:rsidRPr="005F1809">
        <w:rPr>
          <w:rFonts w:ascii="Arial" w:hAnsi="Arial" w:cs="Arial"/>
        </w:rPr>
        <w:t>ocuraduría General de la Nación</w:t>
      </w:r>
      <w:r w:rsidR="00417AA6" w:rsidRPr="005F1809">
        <w:rPr>
          <w:rFonts w:ascii="Arial" w:hAnsi="Arial" w:cs="Arial"/>
        </w:rPr>
        <w:t>.</w:t>
      </w:r>
    </w:p>
    <w:p w14:paraId="5955BD24" w14:textId="77777777" w:rsidR="00390C8F" w:rsidRPr="005F1809" w:rsidRDefault="00390C8F" w:rsidP="00297C14">
      <w:pPr>
        <w:spacing w:before="100" w:beforeAutospacing="1" w:after="100" w:afterAutospacing="1"/>
        <w:rPr>
          <w:rFonts w:cs="Arial"/>
          <w:sz w:val="24"/>
          <w:szCs w:val="24"/>
          <w:lang w:eastAsia="es-CO"/>
        </w:rPr>
      </w:pPr>
      <w:r w:rsidRPr="005F1809">
        <w:rPr>
          <w:rFonts w:cs="Arial"/>
          <w:sz w:val="24"/>
          <w:szCs w:val="24"/>
          <w:lang w:eastAsia="es-CO"/>
        </w:rPr>
        <w:t>Por lo anterior, se propone el siguiente artículo:</w:t>
      </w:r>
    </w:p>
    <w:p w14:paraId="08704358" w14:textId="32A75B77" w:rsidR="00355FA1" w:rsidRPr="005F1809" w:rsidRDefault="00355FA1" w:rsidP="00355FA1">
      <w:pPr>
        <w:ind w:left="284"/>
        <w:rPr>
          <w:rFonts w:cs="Arial"/>
          <w:i/>
          <w:sz w:val="24"/>
          <w:szCs w:val="24"/>
        </w:rPr>
      </w:pPr>
      <w:r w:rsidRPr="005F1809">
        <w:rPr>
          <w:rFonts w:cs="Arial"/>
          <w:i/>
          <w:sz w:val="24"/>
          <w:szCs w:val="24"/>
        </w:rPr>
        <w:t>“Artículo 4. Funciones. La Comisión Intersectorial tendrá las siguientes funciones:</w:t>
      </w:r>
    </w:p>
    <w:p w14:paraId="55D44ED3" w14:textId="160A18F4" w:rsidR="00355FA1" w:rsidRPr="005F1809" w:rsidRDefault="00355FA1" w:rsidP="00355FA1">
      <w:pPr>
        <w:ind w:left="284"/>
        <w:rPr>
          <w:rFonts w:cs="Arial"/>
          <w:i/>
          <w:sz w:val="24"/>
          <w:szCs w:val="24"/>
        </w:rPr>
      </w:pPr>
      <w:r w:rsidRPr="005F1809">
        <w:rPr>
          <w:rFonts w:cs="Arial"/>
          <w:i/>
          <w:sz w:val="24"/>
          <w:szCs w:val="24"/>
        </w:rPr>
        <w:t>1.</w:t>
      </w:r>
      <w:r w:rsidRPr="005F1809">
        <w:rPr>
          <w:rFonts w:cs="Arial"/>
          <w:i/>
          <w:sz w:val="24"/>
          <w:szCs w:val="24"/>
        </w:rPr>
        <w:tab/>
        <w:t>Apoyar la formulación y hacer seguimiento periódico a la implementación de la Política Nacional de Calidad Acústica, velando por el cumplimiento de sus objetivos, líneas de acción y metas</w:t>
      </w:r>
    </w:p>
    <w:p w14:paraId="4CE0D5E9" w14:textId="77777777" w:rsidR="00355FA1" w:rsidRPr="005F1809" w:rsidRDefault="00355FA1" w:rsidP="00355FA1">
      <w:pPr>
        <w:ind w:left="284"/>
        <w:rPr>
          <w:rFonts w:cs="Arial"/>
          <w:i/>
          <w:sz w:val="24"/>
          <w:szCs w:val="24"/>
        </w:rPr>
      </w:pPr>
      <w:r w:rsidRPr="005F1809">
        <w:rPr>
          <w:rFonts w:cs="Arial"/>
          <w:i/>
          <w:sz w:val="24"/>
          <w:szCs w:val="24"/>
        </w:rPr>
        <w:t>2.</w:t>
      </w:r>
      <w:r w:rsidRPr="005F1809">
        <w:rPr>
          <w:rFonts w:cs="Arial"/>
          <w:i/>
          <w:sz w:val="24"/>
          <w:szCs w:val="24"/>
        </w:rPr>
        <w:tab/>
        <w:t>Coordinar la implementación progresiva de la Política Nacional de Calidad Acústica, promoviendo la articulación de estrategias, acciones y normas entre los distintos sectores del orden nacional.</w:t>
      </w:r>
    </w:p>
    <w:p w14:paraId="687B1CA4" w14:textId="77777777" w:rsidR="00355FA1" w:rsidRPr="005F1809" w:rsidRDefault="00355FA1" w:rsidP="00355FA1">
      <w:pPr>
        <w:ind w:left="284"/>
        <w:rPr>
          <w:rFonts w:cs="Arial"/>
          <w:i/>
          <w:sz w:val="24"/>
          <w:szCs w:val="24"/>
        </w:rPr>
      </w:pPr>
      <w:r w:rsidRPr="005F1809">
        <w:rPr>
          <w:rFonts w:cs="Arial"/>
          <w:i/>
          <w:sz w:val="24"/>
          <w:szCs w:val="24"/>
        </w:rPr>
        <w:t>3.</w:t>
      </w:r>
      <w:r w:rsidRPr="005F1809">
        <w:rPr>
          <w:rFonts w:cs="Arial"/>
          <w:i/>
          <w:sz w:val="24"/>
          <w:szCs w:val="24"/>
        </w:rPr>
        <w:tab/>
        <w:t>Emitir conceptos técnicos, recomendaciones y orientaciones intersectoriales sobre el desarrollo normativo, técnico e institucional derivado de la Ley 2450 de 2025, teniendo en cuenta las competencias de las entidades.</w:t>
      </w:r>
    </w:p>
    <w:p w14:paraId="5606A6FA" w14:textId="080A812C" w:rsidR="00355FA1" w:rsidRPr="005F1809" w:rsidRDefault="00355FA1" w:rsidP="00355FA1">
      <w:pPr>
        <w:ind w:left="284"/>
        <w:rPr>
          <w:rFonts w:cs="Arial"/>
          <w:i/>
          <w:sz w:val="24"/>
          <w:szCs w:val="24"/>
        </w:rPr>
      </w:pPr>
      <w:r w:rsidRPr="005F1809">
        <w:rPr>
          <w:rFonts w:cs="Arial"/>
          <w:i/>
          <w:sz w:val="24"/>
          <w:szCs w:val="24"/>
        </w:rPr>
        <w:t>4.</w:t>
      </w:r>
      <w:r w:rsidRPr="005F1809">
        <w:rPr>
          <w:rFonts w:cs="Arial"/>
          <w:i/>
          <w:sz w:val="24"/>
          <w:szCs w:val="24"/>
        </w:rPr>
        <w:tab/>
        <w:t>Promover la armonización normativa y la reglamentación sectorial en materia d</w:t>
      </w:r>
      <w:r w:rsidR="00347DEF" w:rsidRPr="005F1809">
        <w:rPr>
          <w:rFonts w:cs="Arial"/>
          <w:i/>
          <w:sz w:val="24"/>
          <w:szCs w:val="24"/>
        </w:rPr>
        <w:t xml:space="preserve">e calidad acústica, respetando </w:t>
      </w:r>
      <w:r w:rsidRPr="005F1809">
        <w:rPr>
          <w:rFonts w:cs="Arial"/>
          <w:i/>
          <w:sz w:val="24"/>
          <w:szCs w:val="24"/>
        </w:rPr>
        <w:t>las competencias propias de cada sector.</w:t>
      </w:r>
    </w:p>
    <w:p w14:paraId="5840B822" w14:textId="77777777" w:rsidR="00355FA1" w:rsidRPr="005F1809" w:rsidRDefault="00355FA1" w:rsidP="00355FA1">
      <w:pPr>
        <w:ind w:left="284"/>
        <w:rPr>
          <w:rFonts w:cs="Arial"/>
          <w:i/>
          <w:sz w:val="24"/>
          <w:szCs w:val="24"/>
        </w:rPr>
      </w:pPr>
      <w:r w:rsidRPr="005F1809">
        <w:rPr>
          <w:rFonts w:cs="Arial"/>
          <w:i/>
          <w:sz w:val="24"/>
          <w:szCs w:val="24"/>
        </w:rPr>
        <w:t>5.</w:t>
      </w:r>
      <w:r w:rsidRPr="005F1809">
        <w:rPr>
          <w:rFonts w:cs="Arial"/>
          <w:i/>
          <w:sz w:val="24"/>
          <w:szCs w:val="24"/>
        </w:rPr>
        <w:tab/>
        <w:t>Fomentar el fortalecimiento de capacidades institucionales y técnicas en las entidades del orden nacional y territorial responsables de la gestión de la calidad acústica.</w:t>
      </w:r>
    </w:p>
    <w:p w14:paraId="45E4DF18" w14:textId="77777777" w:rsidR="00355FA1" w:rsidRPr="005F1809" w:rsidRDefault="00355FA1" w:rsidP="00355FA1">
      <w:pPr>
        <w:ind w:left="284"/>
        <w:rPr>
          <w:rFonts w:cs="Arial"/>
          <w:i/>
          <w:sz w:val="24"/>
          <w:szCs w:val="24"/>
        </w:rPr>
      </w:pPr>
      <w:r w:rsidRPr="005F1809">
        <w:rPr>
          <w:rFonts w:cs="Arial"/>
          <w:i/>
          <w:sz w:val="24"/>
          <w:szCs w:val="24"/>
        </w:rPr>
        <w:t>6.</w:t>
      </w:r>
      <w:r w:rsidRPr="005F1809">
        <w:rPr>
          <w:rFonts w:cs="Arial"/>
          <w:i/>
          <w:sz w:val="24"/>
          <w:szCs w:val="24"/>
        </w:rPr>
        <w:tab/>
        <w:t>Realizar el seguimiento a los indicadores de gestión y de impacto definidos para la Política, en coordinación con la Secretaría Técnica.</w:t>
      </w:r>
    </w:p>
    <w:p w14:paraId="784F8763" w14:textId="77777777" w:rsidR="00355FA1" w:rsidRPr="005F1809" w:rsidRDefault="00355FA1" w:rsidP="00355FA1">
      <w:pPr>
        <w:ind w:left="284"/>
        <w:rPr>
          <w:rFonts w:cs="Arial"/>
          <w:i/>
          <w:sz w:val="24"/>
          <w:szCs w:val="24"/>
        </w:rPr>
      </w:pPr>
      <w:r w:rsidRPr="005F1809">
        <w:rPr>
          <w:rFonts w:cs="Arial"/>
          <w:i/>
          <w:sz w:val="24"/>
          <w:szCs w:val="24"/>
        </w:rPr>
        <w:t>7.</w:t>
      </w:r>
      <w:r w:rsidRPr="005F1809">
        <w:rPr>
          <w:rFonts w:cs="Arial"/>
          <w:i/>
          <w:sz w:val="24"/>
          <w:szCs w:val="24"/>
        </w:rPr>
        <w:tab/>
        <w:t>Impulsar espacios de participación y concertación, incluyendo la vinculación de autoridades territoriales, organizaciones sociales, sector privado, academia y centros de investigación.</w:t>
      </w:r>
    </w:p>
    <w:p w14:paraId="1E09E1D8" w14:textId="724B6999" w:rsidR="00355FA1" w:rsidRPr="005F1809" w:rsidRDefault="00355FA1" w:rsidP="00355FA1">
      <w:pPr>
        <w:ind w:left="284"/>
        <w:rPr>
          <w:rFonts w:cs="Arial"/>
          <w:i/>
          <w:sz w:val="24"/>
          <w:szCs w:val="24"/>
        </w:rPr>
      </w:pPr>
      <w:r w:rsidRPr="005F1809">
        <w:rPr>
          <w:rFonts w:cs="Arial"/>
          <w:i/>
          <w:sz w:val="24"/>
          <w:szCs w:val="24"/>
        </w:rPr>
        <w:t>8.</w:t>
      </w:r>
      <w:r w:rsidRPr="005F1809">
        <w:rPr>
          <w:rFonts w:cs="Arial"/>
          <w:i/>
          <w:sz w:val="24"/>
          <w:szCs w:val="24"/>
        </w:rPr>
        <w:tab/>
        <w:t>Identificar barreras y proponer acciones para superar desafíos institucionales, normativos o técnicos que obstaculicen la implementación efectiva de la política de calidad acústica.</w:t>
      </w:r>
    </w:p>
    <w:p w14:paraId="7C29DF20" w14:textId="77777777" w:rsidR="00355FA1" w:rsidRPr="005F1809" w:rsidRDefault="00355FA1" w:rsidP="00355FA1">
      <w:pPr>
        <w:ind w:left="284"/>
        <w:rPr>
          <w:rFonts w:cs="Arial"/>
          <w:i/>
          <w:sz w:val="24"/>
          <w:szCs w:val="24"/>
        </w:rPr>
      </w:pPr>
      <w:r w:rsidRPr="005F1809">
        <w:rPr>
          <w:rFonts w:cs="Arial"/>
          <w:i/>
          <w:sz w:val="24"/>
          <w:szCs w:val="24"/>
        </w:rPr>
        <w:t>9.</w:t>
      </w:r>
      <w:r w:rsidRPr="005F1809">
        <w:rPr>
          <w:rFonts w:cs="Arial"/>
          <w:i/>
          <w:sz w:val="24"/>
          <w:szCs w:val="24"/>
        </w:rPr>
        <w:tab/>
        <w:t>Aprobar el reglamento interno de funcionamiento y validar el plan de trabajo de la Comisión</w:t>
      </w:r>
    </w:p>
    <w:p w14:paraId="6D61CFA6" w14:textId="77777777" w:rsidR="00355FA1" w:rsidRPr="005F1809" w:rsidRDefault="00355FA1" w:rsidP="00355FA1">
      <w:pPr>
        <w:ind w:left="284"/>
        <w:rPr>
          <w:rFonts w:cs="Arial"/>
          <w:i/>
          <w:sz w:val="24"/>
          <w:szCs w:val="24"/>
        </w:rPr>
      </w:pPr>
      <w:r w:rsidRPr="005F1809">
        <w:rPr>
          <w:rFonts w:cs="Arial"/>
          <w:i/>
          <w:sz w:val="24"/>
          <w:szCs w:val="24"/>
        </w:rPr>
        <w:t>10.</w:t>
      </w:r>
      <w:r w:rsidRPr="005F1809">
        <w:rPr>
          <w:rFonts w:cs="Arial"/>
          <w:i/>
          <w:sz w:val="24"/>
          <w:szCs w:val="24"/>
        </w:rPr>
        <w:tab/>
        <w:t>Generar insumos para la consolidación y aprobación del informe bienal de seguimiento de la Política ante el Congreso de la República, conforme al parágrafo 2 del artículo 9 de la Ley 2450 de 2025.</w:t>
      </w:r>
    </w:p>
    <w:p w14:paraId="29ADC122" w14:textId="2B39F0F8" w:rsidR="00355FA1" w:rsidRPr="005F1809" w:rsidRDefault="00355FA1" w:rsidP="00355FA1">
      <w:pPr>
        <w:ind w:left="284"/>
        <w:rPr>
          <w:rFonts w:cs="Arial"/>
          <w:i/>
          <w:sz w:val="24"/>
          <w:szCs w:val="24"/>
        </w:rPr>
      </w:pPr>
      <w:r w:rsidRPr="005F1809">
        <w:rPr>
          <w:rFonts w:cs="Arial"/>
          <w:i/>
          <w:sz w:val="24"/>
          <w:szCs w:val="24"/>
        </w:rPr>
        <w:t>11.</w:t>
      </w:r>
      <w:r w:rsidRPr="005F1809">
        <w:rPr>
          <w:rFonts w:cs="Arial"/>
          <w:i/>
          <w:sz w:val="24"/>
          <w:szCs w:val="24"/>
        </w:rPr>
        <w:tab/>
        <w:t>Las demás funciones que se deriven de su carácter consultivo, articulador y asesor, conforme a lo establecido en la Ley y para dar cumplimiento al objeto para el que fue creada.”</w:t>
      </w:r>
    </w:p>
    <w:p w14:paraId="17E219D5" w14:textId="77777777" w:rsidR="00355FA1" w:rsidRPr="005F1809" w:rsidRDefault="00355FA1" w:rsidP="00355FA1">
      <w:pPr>
        <w:ind w:left="284"/>
        <w:rPr>
          <w:rFonts w:cs="Arial"/>
          <w:i/>
          <w:sz w:val="24"/>
          <w:szCs w:val="24"/>
        </w:rPr>
      </w:pPr>
    </w:p>
    <w:p w14:paraId="70DA60A7" w14:textId="77777777" w:rsidR="00297C14" w:rsidRPr="005F1809" w:rsidRDefault="00BA7836" w:rsidP="00BA7836">
      <w:pPr>
        <w:pStyle w:val="Ttulo2"/>
        <w:rPr>
          <w:rFonts w:ascii="Arial" w:hAnsi="Arial" w:cs="Arial"/>
          <w:sz w:val="24"/>
          <w:szCs w:val="24"/>
          <w:lang w:eastAsia="es-CO"/>
        </w:rPr>
      </w:pPr>
      <w:r w:rsidRPr="005F1809">
        <w:rPr>
          <w:rFonts w:ascii="Arial" w:hAnsi="Arial" w:cs="Arial"/>
          <w:sz w:val="24"/>
          <w:szCs w:val="24"/>
        </w:rPr>
        <w:t>2.4 Duración y Sesiones de la Comisión</w:t>
      </w:r>
    </w:p>
    <w:p w14:paraId="04BACC5A" w14:textId="77777777" w:rsidR="00297C14" w:rsidRPr="005F1809" w:rsidRDefault="00297C14" w:rsidP="00297C14">
      <w:pPr>
        <w:pStyle w:val="NormalWeb"/>
        <w:jc w:val="both"/>
        <w:rPr>
          <w:rFonts w:ascii="Arial" w:hAnsi="Arial" w:cs="Arial"/>
        </w:rPr>
      </w:pPr>
      <w:r w:rsidRPr="005F1809">
        <w:rPr>
          <w:rFonts w:ascii="Arial" w:hAnsi="Arial" w:cs="Arial"/>
        </w:rPr>
        <w:t>La naturaleza intersectorial de la Comisión exige un esquema de funcionamiento que garantice continuidad, estabilidad y capacidad de respuesta frente a las distintas etapas del desarrollo de la política pública. Dado que la gestión de la calidad acústica constituye un proceso permanente y de largo plazo, que involucra tanto la formulación como la implementación, el seguimiento y los ajustes progresivos de la Política Nacional de Calidad Acústica, resulta necesario establecer una duración indefinida de la Comisión, que permita acompañar de manera sostenida el cumplimiento de los mandatos previstos en la Ley 2450 de 2025.</w:t>
      </w:r>
    </w:p>
    <w:p w14:paraId="0D3E388B" w14:textId="77777777" w:rsidR="00297C14" w:rsidRPr="005F1809" w:rsidRDefault="00297C14" w:rsidP="00297C14">
      <w:pPr>
        <w:pStyle w:val="NormalWeb"/>
        <w:jc w:val="both"/>
        <w:rPr>
          <w:rFonts w:ascii="Arial" w:hAnsi="Arial" w:cs="Arial"/>
        </w:rPr>
      </w:pPr>
      <w:r w:rsidRPr="005F1809">
        <w:rPr>
          <w:rFonts w:ascii="Arial" w:hAnsi="Arial" w:cs="Arial"/>
        </w:rPr>
        <w:t>Asimismo, se hace indispensable definir una periodicidad mínima de sesiones ordinarias diferenciada según la etapa en la que se encuentre la política, de manera que durante la fase de formulación y adopción se garantice una coordinación frecuente y oportuna entre las entidades involucradas, y una vez adoptada la política, se asegure un seguimiento periódico que permita evaluar avances, articular acciones intersectoriales y adoptar decisiones técnicas de manera informada. De igual forma, la previsión de sesiones extraordinarias responde a la necesidad de contar con mecanismos ágiles que permitan atender situaciones imprevistas, requerimientos urgentes o asuntos estratégicos que demanden la intervención inmediata de la Comisión.</w:t>
      </w:r>
    </w:p>
    <w:p w14:paraId="270BE78B" w14:textId="77777777" w:rsidR="00297C14" w:rsidRPr="005F1809" w:rsidRDefault="00297C14" w:rsidP="00297C14">
      <w:pPr>
        <w:pStyle w:val="NormalWeb"/>
        <w:jc w:val="both"/>
        <w:rPr>
          <w:rFonts w:ascii="Arial" w:hAnsi="Arial" w:cs="Arial"/>
        </w:rPr>
      </w:pPr>
      <w:r w:rsidRPr="005F1809">
        <w:rPr>
          <w:rFonts w:ascii="Arial" w:hAnsi="Arial" w:cs="Arial"/>
        </w:rPr>
        <w:t xml:space="preserve">Por otra parte, la definición de </w:t>
      </w:r>
      <w:r w:rsidR="008B332D" w:rsidRPr="005F1809">
        <w:rPr>
          <w:rFonts w:ascii="Arial" w:hAnsi="Arial" w:cs="Arial"/>
        </w:rPr>
        <w:t xml:space="preserve">directrices </w:t>
      </w:r>
      <w:r w:rsidRPr="005F1809">
        <w:rPr>
          <w:rFonts w:ascii="Arial" w:hAnsi="Arial" w:cs="Arial"/>
        </w:rPr>
        <w:t xml:space="preserve">sobre la convocatoria, la modalidad de las sesiones y la elaboración de actas constituye un elemento esencial para garantizar la transparencia, la trazabilidad de las decisiones y la seguridad jurídica del funcionamiento de la Comisión. La posibilidad de sesionar de manera presencial, virtual o mixta permite asegurar la participación efectiva de los miembros, optimizar recursos y facilitar la articulación interinstitucional, sin afectar la validez de las deliberaciones y decisiones adoptadas. </w:t>
      </w:r>
    </w:p>
    <w:p w14:paraId="0EBE7812" w14:textId="7037E749" w:rsidR="00297C14" w:rsidRPr="005F1809" w:rsidRDefault="00297C14" w:rsidP="00297C14">
      <w:pPr>
        <w:pStyle w:val="NormalWeb"/>
        <w:jc w:val="both"/>
        <w:rPr>
          <w:rFonts w:ascii="Arial" w:hAnsi="Arial" w:cs="Arial"/>
        </w:rPr>
      </w:pPr>
      <w:r w:rsidRPr="005F1809">
        <w:rPr>
          <w:rFonts w:ascii="Arial" w:hAnsi="Arial" w:cs="Arial"/>
        </w:rPr>
        <w:t xml:space="preserve">Por lo anterior, se propone </w:t>
      </w:r>
      <w:r w:rsidR="00347DEF" w:rsidRPr="005F1809">
        <w:rPr>
          <w:rFonts w:ascii="Arial" w:hAnsi="Arial" w:cs="Arial"/>
        </w:rPr>
        <w:t>los</w:t>
      </w:r>
      <w:r w:rsidRPr="005F1809">
        <w:rPr>
          <w:rFonts w:ascii="Arial" w:hAnsi="Arial" w:cs="Arial"/>
        </w:rPr>
        <w:t xml:space="preserve"> siguiente</w:t>
      </w:r>
      <w:r w:rsidR="00347DEF" w:rsidRPr="005F1809">
        <w:rPr>
          <w:rFonts w:ascii="Arial" w:hAnsi="Arial" w:cs="Arial"/>
        </w:rPr>
        <w:t>s</w:t>
      </w:r>
      <w:r w:rsidRPr="005F1809">
        <w:rPr>
          <w:rFonts w:ascii="Arial" w:hAnsi="Arial" w:cs="Arial"/>
        </w:rPr>
        <w:t xml:space="preserve"> artículo</w:t>
      </w:r>
      <w:r w:rsidR="00347DEF" w:rsidRPr="005F1809">
        <w:rPr>
          <w:rFonts w:ascii="Arial" w:hAnsi="Arial" w:cs="Arial"/>
        </w:rPr>
        <w:t>s</w:t>
      </w:r>
      <w:r w:rsidRPr="005F1809">
        <w:rPr>
          <w:rFonts w:ascii="Arial" w:hAnsi="Arial" w:cs="Arial"/>
        </w:rPr>
        <w:t>:</w:t>
      </w:r>
    </w:p>
    <w:p w14:paraId="678BB5CB" w14:textId="625B5BFC" w:rsidR="00B10F9A" w:rsidRPr="005F1809" w:rsidRDefault="00B10F9A" w:rsidP="00B10F9A">
      <w:pPr>
        <w:spacing w:before="100" w:beforeAutospacing="1" w:after="100" w:afterAutospacing="1"/>
        <w:ind w:left="720"/>
        <w:rPr>
          <w:rFonts w:cs="Arial"/>
          <w:bCs/>
          <w:i/>
          <w:sz w:val="24"/>
          <w:szCs w:val="24"/>
        </w:rPr>
      </w:pPr>
      <w:r w:rsidRPr="005F1809">
        <w:rPr>
          <w:rFonts w:cs="Arial"/>
          <w:bCs/>
          <w:i/>
          <w:sz w:val="24"/>
          <w:szCs w:val="24"/>
        </w:rPr>
        <w:t>“Artículo 5. Duración y Sesiones de la Comisión Intersectorial Para el Seguimiento e Implementación de la política nacional de calidad acústica: La Comisión tendrá una duración indefinida y sesionará ordinaria y extraordinariamente.</w:t>
      </w:r>
    </w:p>
    <w:p w14:paraId="75CA1E09" w14:textId="521F0B97" w:rsidR="00B10F9A" w:rsidRPr="005F1809" w:rsidRDefault="00B10F9A" w:rsidP="00B10F9A">
      <w:pPr>
        <w:spacing w:before="100" w:beforeAutospacing="1" w:after="100" w:afterAutospacing="1"/>
        <w:ind w:left="720"/>
        <w:rPr>
          <w:rFonts w:cs="Arial"/>
          <w:bCs/>
          <w:i/>
          <w:sz w:val="24"/>
          <w:szCs w:val="24"/>
        </w:rPr>
      </w:pPr>
      <w:r w:rsidRPr="005F1809">
        <w:rPr>
          <w:rFonts w:cs="Arial"/>
          <w:bCs/>
          <w:i/>
          <w:sz w:val="24"/>
          <w:szCs w:val="24"/>
        </w:rPr>
        <w:t xml:space="preserve"> - Sesiones Ordinarias. Se realizarán por lo menos, una (1) vez al mes mientras se adelanta el proceso de formulación y adopción de la Política Nacional de Calidad Acústica. </w:t>
      </w:r>
    </w:p>
    <w:p w14:paraId="65EF31AF" w14:textId="01AFC381" w:rsidR="00B10F9A" w:rsidRPr="005F1809" w:rsidRDefault="00B10F9A" w:rsidP="00B10F9A">
      <w:pPr>
        <w:spacing w:before="100" w:beforeAutospacing="1" w:after="100" w:afterAutospacing="1"/>
        <w:ind w:left="720"/>
        <w:rPr>
          <w:rFonts w:cs="Arial"/>
          <w:bCs/>
          <w:i/>
          <w:sz w:val="24"/>
          <w:szCs w:val="24"/>
        </w:rPr>
      </w:pPr>
      <w:r w:rsidRPr="005F1809">
        <w:rPr>
          <w:rFonts w:cs="Arial"/>
          <w:bCs/>
          <w:i/>
          <w:sz w:val="24"/>
          <w:szCs w:val="24"/>
        </w:rPr>
        <w:t xml:space="preserve">Publicada la política nacional de calidad acústica se sesionará de manera ordinaria como mínimo </w:t>
      </w:r>
      <w:r w:rsidR="00B517DF">
        <w:rPr>
          <w:rFonts w:cs="Arial"/>
          <w:bCs/>
          <w:i/>
          <w:sz w:val="24"/>
          <w:szCs w:val="24"/>
        </w:rPr>
        <w:t>tres</w:t>
      </w:r>
      <w:r w:rsidRPr="005F1809">
        <w:rPr>
          <w:rFonts w:cs="Arial"/>
          <w:bCs/>
          <w:i/>
          <w:sz w:val="24"/>
          <w:szCs w:val="24"/>
        </w:rPr>
        <w:t xml:space="preserve"> (</w:t>
      </w:r>
      <w:r w:rsidR="00B517DF">
        <w:rPr>
          <w:rFonts w:cs="Arial"/>
          <w:bCs/>
          <w:i/>
          <w:sz w:val="24"/>
          <w:szCs w:val="24"/>
        </w:rPr>
        <w:t>3</w:t>
      </w:r>
      <w:r w:rsidRPr="005F1809">
        <w:rPr>
          <w:rFonts w:cs="Arial"/>
          <w:bCs/>
          <w:i/>
          <w:sz w:val="24"/>
          <w:szCs w:val="24"/>
        </w:rPr>
        <w:t xml:space="preserve">) veces </w:t>
      </w:r>
      <w:r w:rsidR="00B517DF">
        <w:rPr>
          <w:rFonts w:cs="Arial"/>
          <w:bCs/>
          <w:i/>
          <w:sz w:val="24"/>
          <w:szCs w:val="24"/>
        </w:rPr>
        <w:t>al año</w:t>
      </w:r>
      <w:r w:rsidRPr="005F1809">
        <w:rPr>
          <w:rFonts w:cs="Arial"/>
          <w:bCs/>
          <w:i/>
          <w:sz w:val="24"/>
          <w:szCs w:val="24"/>
        </w:rPr>
        <w:t>.</w:t>
      </w:r>
    </w:p>
    <w:p w14:paraId="2451EE80" w14:textId="77777777" w:rsidR="00B10F9A" w:rsidRPr="005F1809" w:rsidRDefault="00B10F9A" w:rsidP="00B10F9A">
      <w:pPr>
        <w:spacing w:before="100" w:beforeAutospacing="1" w:after="100" w:afterAutospacing="1"/>
        <w:ind w:left="720"/>
        <w:rPr>
          <w:rFonts w:cs="Arial"/>
          <w:bCs/>
          <w:i/>
          <w:sz w:val="24"/>
          <w:szCs w:val="24"/>
        </w:rPr>
      </w:pPr>
      <w:r w:rsidRPr="005F1809">
        <w:rPr>
          <w:rFonts w:cs="Arial"/>
          <w:bCs/>
          <w:i/>
          <w:sz w:val="24"/>
          <w:szCs w:val="24"/>
        </w:rPr>
        <w:t>- Sesiones Extraordinarias. Se realizarán en cualquier tiempo, cuando lo solicite la Presidencia de la Comisión o al menos la mitad de sus miembros, para tratar exclusivamente los temas para los cuales se convoca la sesión.</w:t>
      </w:r>
    </w:p>
    <w:p w14:paraId="5E8253DD" w14:textId="57BC3F40" w:rsidR="00B10F9A" w:rsidRPr="005F1809" w:rsidRDefault="00B10F9A" w:rsidP="00B10F9A">
      <w:pPr>
        <w:spacing w:before="100" w:beforeAutospacing="1" w:after="100" w:afterAutospacing="1"/>
        <w:ind w:left="720"/>
        <w:rPr>
          <w:rFonts w:cs="Arial"/>
          <w:bCs/>
          <w:i/>
          <w:sz w:val="24"/>
          <w:szCs w:val="24"/>
        </w:rPr>
      </w:pPr>
      <w:r w:rsidRPr="005F1809">
        <w:rPr>
          <w:rFonts w:cs="Arial"/>
          <w:bCs/>
          <w:i/>
          <w:sz w:val="24"/>
          <w:szCs w:val="24"/>
        </w:rPr>
        <w:t>Parágrafo 1. Las sesiones ordinarias y extraordinarias de la Comisión se realizarán de manera presencial.  No obstante, se podrán llevar a cabo en la modalidad virtual o mixta, la cual deberá ser indicada en la convocatoria a efectuar por la secretaría técnica.</w:t>
      </w:r>
    </w:p>
    <w:p w14:paraId="38BB56E2" w14:textId="77777777" w:rsidR="00347DEF" w:rsidRPr="005F1809" w:rsidRDefault="00347DEF" w:rsidP="00C367EF">
      <w:pPr>
        <w:spacing w:before="100" w:beforeAutospacing="1" w:after="100" w:afterAutospacing="1"/>
        <w:ind w:left="720"/>
        <w:rPr>
          <w:rFonts w:cs="Arial"/>
          <w:bCs/>
          <w:i/>
          <w:sz w:val="24"/>
          <w:szCs w:val="24"/>
        </w:rPr>
      </w:pPr>
      <w:r w:rsidRPr="005F1809">
        <w:rPr>
          <w:rFonts w:cs="Arial"/>
          <w:bCs/>
          <w:i/>
          <w:sz w:val="24"/>
          <w:szCs w:val="24"/>
        </w:rPr>
        <w:t>Artículo 6. Convocatoria. Las convocatorias a las sesiones las hará la Secretaría Técnica por cualquier medio físico o electrónico, con al menos ocho días de antelación para las sesiones ordinarias y tres días de antelación para las sesiones extraordinarias, indicando para cualquiera de las sesiones: día, hora y lugar de la sesión, el respectivo orden del día, la modalidad de la sesión esto es si será presencial, virtual o mixta, y la relación de invitados.</w:t>
      </w:r>
    </w:p>
    <w:p w14:paraId="0600F23C" w14:textId="77777777" w:rsidR="00347DEF" w:rsidRPr="005F1809" w:rsidRDefault="00347DEF" w:rsidP="00C367EF">
      <w:pPr>
        <w:spacing w:before="100" w:beforeAutospacing="1" w:after="100" w:afterAutospacing="1"/>
        <w:ind w:left="720"/>
        <w:rPr>
          <w:rFonts w:cs="Arial"/>
          <w:bCs/>
          <w:i/>
          <w:sz w:val="24"/>
          <w:szCs w:val="24"/>
        </w:rPr>
      </w:pPr>
      <w:r w:rsidRPr="005F1809">
        <w:rPr>
          <w:rFonts w:cs="Arial"/>
          <w:bCs/>
          <w:i/>
          <w:sz w:val="24"/>
          <w:szCs w:val="24"/>
        </w:rPr>
        <w:t>Artículo 7 Actas. De las sesiones presenciales, virtuales o mixtas, la Secretaría Técnica hará contar en actas numeradas cronológica y consecutivamente, la fecha, hora, quorum, orden del día, temas tratados, intervenciones, recomendaciones, decisiones y compromisos adoptados y se anexará los soportes que correspondan.</w:t>
      </w:r>
    </w:p>
    <w:p w14:paraId="6D59A696" w14:textId="1BEFEA08" w:rsidR="00347DEF" w:rsidRPr="005F1809" w:rsidRDefault="00347DEF" w:rsidP="00C367EF">
      <w:pPr>
        <w:spacing w:before="100" w:beforeAutospacing="1" w:after="100" w:afterAutospacing="1"/>
        <w:ind w:left="720"/>
        <w:rPr>
          <w:rFonts w:cs="Arial"/>
          <w:bCs/>
          <w:i/>
          <w:sz w:val="24"/>
          <w:szCs w:val="24"/>
        </w:rPr>
      </w:pPr>
      <w:r w:rsidRPr="005F1809">
        <w:rPr>
          <w:rFonts w:cs="Arial"/>
          <w:bCs/>
          <w:i/>
          <w:sz w:val="24"/>
          <w:szCs w:val="24"/>
        </w:rPr>
        <w:t>Las actas deberán ser aprobadas en la siguiente sesión por los miembros de la Comisión y posteriormente suscritas por el presidente y secretario técnico. El acta se elaborará dentro de los cinco (5) días siguientes a la correspondiente sesión.”</w:t>
      </w:r>
    </w:p>
    <w:p w14:paraId="22B461AE" w14:textId="29AA9BCE" w:rsidR="00BA7836" w:rsidRPr="005F1809" w:rsidRDefault="00BA7836" w:rsidP="00BA7836">
      <w:pPr>
        <w:pStyle w:val="Ttulo2"/>
        <w:rPr>
          <w:rFonts w:ascii="Arial" w:hAnsi="Arial" w:cs="Arial"/>
          <w:sz w:val="24"/>
          <w:szCs w:val="24"/>
        </w:rPr>
      </w:pPr>
      <w:r w:rsidRPr="005F1809">
        <w:rPr>
          <w:rFonts w:ascii="Arial" w:hAnsi="Arial" w:cs="Arial"/>
          <w:sz w:val="24"/>
          <w:szCs w:val="24"/>
        </w:rPr>
        <w:t xml:space="preserve">2.5. Quórum </w:t>
      </w:r>
      <w:proofErr w:type="spellStart"/>
      <w:r w:rsidR="00347DEF" w:rsidRPr="005F1809">
        <w:rPr>
          <w:rFonts w:ascii="Arial" w:hAnsi="Arial" w:cs="Arial"/>
          <w:sz w:val="24"/>
          <w:szCs w:val="24"/>
        </w:rPr>
        <w:t>Deliberatorio</w:t>
      </w:r>
      <w:proofErr w:type="spellEnd"/>
      <w:r w:rsidR="00347DEF" w:rsidRPr="005F1809">
        <w:rPr>
          <w:rFonts w:ascii="Arial" w:hAnsi="Arial" w:cs="Arial"/>
          <w:sz w:val="24"/>
          <w:szCs w:val="24"/>
        </w:rPr>
        <w:t xml:space="preserve"> y Decisorio:</w:t>
      </w:r>
    </w:p>
    <w:p w14:paraId="7D141524" w14:textId="77777777" w:rsidR="00542D9B" w:rsidRPr="005F1809" w:rsidRDefault="00542D9B" w:rsidP="00FA4044">
      <w:pPr>
        <w:pStyle w:val="NormalWeb"/>
        <w:jc w:val="both"/>
        <w:rPr>
          <w:rFonts w:ascii="Arial" w:hAnsi="Arial" w:cs="Arial"/>
        </w:rPr>
      </w:pPr>
      <w:r w:rsidRPr="005F1809">
        <w:rPr>
          <w:rFonts w:ascii="Arial" w:hAnsi="Arial" w:cs="Arial"/>
        </w:rPr>
        <w:t>El adecuad</w:t>
      </w:r>
      <w:r w:rsidR="008B332D" w:rsidRPr="005F1809">
        <w:rPr>
          <w:rFonts w:ascii="Arial" w:hAnsi="Arial" w:cs="Arial"/>
        </w:rPr>
        <w:t xml:space="preserve">o funcionamiento de la Comisión, se </w:t>
      </w:r>
      <w:r w:rsidRPr="005F1809">
        <w:rPr>
          <w:rFonts w:ascii="Arial" w:hAnsi="Arial" w:cs="Arial"/>
        </w:rPr>
        <w:t xml:space="preserve">requiere la definición expresa de reglas sobre quórum </w:t>
      </w:r>
      <w:proofErr w:type="spellStart"/>
      <w:r w:rsidRPr="005F1809">
        <w:rPr>
          <w:rFonts w:ascii="Arial" w:hAnsi="Arial" w:cs="Arial"/>
        </w:rPr>
        <w:t>deliberatorio</w:t>
      </w:r>
      <w:proofErr w:type="spellEnd"/>
      <w:r w:rsidRPr="005F1809">
        <w:rPr>
          <w:rFonts w:ascii="Arial" w:hAnsi="Arial" w:cs="Arial"/>
        </w:rPr>
        <w:t xml:space="preserve"> y decisorio, que garanticen la legitimidad de sus actuaciones y la validez de las decisiones adoptadas. Al tratarse de una instancia intersectorial con múltiples entidades participantes, resulta indispensable establecer criterios claros que aseguren que las deliberaciones y determinaciones se adopten con una participación representativa de sus miembros, evitando vacíos normativos que puedan afectar la seguridad jurídica del proceso.</w:t>
      </w:r>
    </w:p>
    <w:p w14:paraId="067C0A7B" w14:textId="7590DFB1" w:rsidR="00542D9B" w:rsidRPr="005F1809" w:rsidRDefault="00542D9B" w:rsidP="00FA4044">
      <w:pPr>
        <w:pStyle w:val="NormalWeb"/>
        <w:jc w:val="both"/>
        <w:rPr>
          <w:rFonts w:ascii="Arial" w:hAnsi="Arial" w:cs="Arial"/>
        </w:rPr>
      </w:pPr>
      <w:r w:rsidRPr="005F1809">
        <w:rPr>
          <w:rFonts w:ascii="Arial" w:hAnsi="Arial" w:cs="Arial"/>
        </w:rPr>
        <w:t xml:space="preserve">Adicionalmente, resulta necesario prever mecanismos procedimentales para la resolución de eventuales empates en la toma de decisiones, de manera </w:t>
      </w:r>
      <w:r w:rsidR="00CB2D5E" w:rsidRPr="005F1809">
        <w:rPr>
          <w:rFonts w:ascii="Arial" w:hAnsi="Arial" w:cs="Arial"/>
        </w:rPr>
        <w:t>que se garantice el respeto por</w:t>
      </w:r>
      <w:r w:rsidRPr="005F1809">
        <w:rPr>
          <w:rFonts w:ascii="Arial" w:hAnsi="Arial" w:cs="Arial"/>
        </w:rPr>
        <w:t xml:space="preserve"> la deliberación técnica, la igualdad entre los miembros y la transparencia del proceso decisorio. La posibilidad de habilitar nuevas intervenciones frente a posiciones en controversia y someter nuevamente el asunto a votación fortalece la construcción de consensos y asegura que las decisiones se adopten de forma informada. En aquellos casos en los que persista el empate, la convocatoria a una sesión extraordinaria permite ampliar el análisis técnico y</w:t>
      </w:r>
      <w:r w:rsidR="008B332D" w:rsidRPr="005F1809">
        <w:rPr>
          <w:rFonts w:ascii="Arial" w:hAnsi="Arial" w:cs="Arial"/>
        </w:rPr>
        <w:t xml:space="preserve"> la participación institucional</w:t>
      </w:r>
      <w:r w:rsidRPr="005F1809">
        <w:rPr>
          <w:rFonts w:ascii="Arial" w:hAnsi="Arial" w:cs="Arial"/>
        </w:rPr>
        <w:t>.</w:t>
      </w:r>
    </w:p>
    <w:p w14:paraId="5FAAC2A9" w14:textId="77777777" w:rsidR="00542D9B" w:rsidRPr="005F1809" w:rsidRDefault="00542D9B" w:rsidP="00542D9B">
      <w:pPr>
        <w:pStyle w:val="NormalWeb"/>
        <w:jc w:val="both"/>
        <w:rPr>
          <w:rFonts w:ascii="Arial" w:hAnsi="Arial" w:cs="Arial"/>
        </w:rPr>
      </w:pPr>
      <w:r w:rsidRPr="005F1809">
        <w:rPr>
          <w:rFonts w:ascii="Arial" w:hAnsi="Arial" w:cs="Arial"/>
        </w:rPr>
        <w:t>Por lo anterior, se propone el siguiente artículo:</w:t>
      </w:r>
    </w:p>
    <w:p w14:paraId="62CFC32C" w14:textId="586300F5" w:rsidR="00347DEF" w:rsidRPr="005F1809" w:rsidRDefault="005202C6" w:rsidP="00347DEF">
      <w:pPr>
        <w:spacing w:before="100" w:beforeAutospacing="1" w:after="100" w:afterAutospacing="1"/>
        <w:ind w:left="720"/>
        <w:rPr>
          <w:rFonts w:cs="Arial"/>
          <w:bCs/>
          <w:i/>
          <w:sz w:val="24"/>
          <w:szCs w:val="24"/>
        </w:rPr>
      </w:pPr>
      <w:r w:rsidRPr="005F1809">
        <w:rPr>
          <w:rFonts w:cs="Arial"/>
          <w:bCs/>
          <w:i/>
          <w:sz w:val="24"/>
          <w:szCs w:val="24"/>
        </w:rPr>
        <w:t>“</w:t>
      </w:r>
      <w:r w:rsidR="00347DEF" w:rsidRPr="005F1809">
        <w:rPr>
          <w:rFonts w:cs="Arial"/>
          <w:bCs/>
          <w:i/>
          <w:sz w:val="24"/>
          <w:szCs w:val="24"/>
        </w:rPr>
        <w:t xml:space="preserve">Artículo 8. Quórum </w:t>
      </w:r>
      <w:proofErr w:type="spellStart"/>
      <w:r w:rsidR="00347DEF" w:rsidRPr="005F1809">
        <w:rPr>
          <w:rFonts w:cs="Arial"/>
          <w:bCs/>
          <w:i/>
          <w:sz w:val="24"/>
          <w:szCs w:val="24"/>
        </w:rPr>
        <w:t>Deliberatorio</w:t>
      </w:r>
      <w:proofErr w:type="spellEnd"/>
      <w:r w:rsidR="00347DEF" w:rsidRPr="005F1809">
        <w:rPr>
          <w:rFonts w:cs="Arial"/>
          <w:bCs/>
          <w:i/>
          <w:sz w:val="24"/>
          <w:szCs w:val="24"/>
        </w:rPr>
        <w:t xml:space="preserve"> y Decisorio. La comisión deliberará con quorum de </w:t>
      </w:r>
      <w:r w:rsidR="00B45A94" w:rsidRPr="005F1809">
        <w:rPr>
          <w:rFonts w:cs="Arial"/>
          <w:bCs/>
          <w:i/>
          <w:sz w:val="24"/>
          <w:szCs w:val="24"/>
        </w:rPr>
        <w:t>más</w:t>
      </w:r>
      <w:r w:rsidR="00347DEF" w:rsidRPr="005F1809">
        <w:rPr>
          <w:rFonts w:cs="Arial"/>
          <w:bCs/>
          <w:i/>
          <w:sz w:val="24"/>
          <w:szCs w:val="24"/>
        </w:rPr>
        <w:t xml:space="preserve"> de la mitad de sus miembros y decidirá con quórum la mitad más uno de sus miembros asistentes de la Comisión a la sesión. </w:t>
      </w:r>
    </w:p>
    <w:p w14:paraId="34FAAD27" w14:textId="60337136" w:rsidR="00542D9B" w:rsidRPr="005F1809" w:rsidRDefault="00347DEF" w:rsidP="00CB2D5E">
      <w:pPr>
        <w:spacing w:before="100" w:beforeAutospacing="1" w:after="100" w:afterAutospacing="1"/>
        <w:ind w:left="720"/>
        <w:rPr>
          <w:rFonts w:cs="Arial"/>
          <w:i/>
          <w:sz w:val="24"/>
          <w:szCs w:val="24"/>
        </w:rPr>
      </w:pPr>
      <w:r w:rsidRPr="005F1809">
        <w:rPr>
          <w:rFonts w:cs="Arial"/>
          <w:bCs/>
          <w:i/>
          <w:sz w:val="24"/>
          <w:szCs w:val="24"/>
        </w:rPr>
        <w:t>Parágrafo. En caso de presentarse empate en la toma de decisiones, el/a presidente/a de la Comisión Intersectorial dejará constancia y permitirá que se desarrolle una intervención por cada parte en controversia, al cabo de lo cual se someterá a una segunda votación. De subsistir el empate se dejará constancia en el acta correspondiente y se convocará a sesión extraordinaria por parte de la Secretaría Técnica.”</w:t>
      </w:r>
    </w:p>
    <w:p w14:paraId="7597D458" w14:textId="77777777" w:rsidR="00BA7836" w:rsidRPr="005F1809" w:rsidRDefault="00BA7836" w:rsidP="00BA7836">
      <w:pPr>
        <w:pStyle w:val="Ttulo2"/>
        <w:rPr>
          <w:rFonts w:ascii="Arial" w:hAnsi="Arial" w:cs="Arial"/>
          <w:sz w:val="24"/>
          <w:szCs w:val="24"/>
        </w:rPr>
      </w:pPr>
      <w:r w:rsidRPr="005F1809">
        <w:rPr>
          <w:rFonts w:ascii="Arial" w:hAnsi="Arial" w:cs="Arial"/>
          <w:sz w:val="24"/>
          <w:szCs w:val="24"/>
        </w:rPr>
        <w:t>2.6 Presidencia y funciones del presidente</w:t>
      </w:r>
    </w:p>
    <w:p w14:paraId="7385279A" w14:textId="5AAC20FE" w:rsidR="00F93498" w:rsidRPr="005F1809" w:rsidRDefault="00F93498" w:rsidP="00C367EF">
      <w:pPr>
        <w:pStyle w:val="NormalWeb"/>
        <w:jc w:val="both"/>
        <w:rPr>
          <w:rFonts w:ascii="Arial" w:hAnsi="Arial" w:cs="Arial"/>
        </w:rPr>
      </w:pPr>
      <w:r w:rsidRPr="005F1809">
        <w:rPr>
          <w:rFonts w:ascii="Arial" w:hAnsi="Arial" w:cs="Arial"/>
        </w:rPr>
        <w:t>La definición de una Presidencia para la Comisión responde a la necesidad de contar con una instancia de dirección que oriente la conducción ordenada, continua y eficaz de los procesos deliberativos y de coordinación interinstitucional. En una comisión de carácter intersectorial y transversal, la existencia de una presidencia claramente definida resulta fundamental para el adecuado desarrollo de las sesiones, la orientación estratégica de los trabajos y la representación institucional de la Comisión en el marco de sus competencias.</w:t>
      </w:r>
    </w:p>
    <w:p w14:paraId="6D066057" w14:textId="478A7624" w:rsidR="00F93498" w:rsidRPr="005F1809" w:rsidRDefault="00F93498" w:rsidP="00C367EF">
      <w:pPr>
        <w:pStyle w:val="NormalWeb"/>
        <w:jc w:val="both"/>
        <w:rPr>
          <w:rFonts w:ascii="Arial" w:hAnsi="Arial" w:cs="Arial"/>
        </w:rPr>
      </w:pPr>
      <w:r w:rsidRPr="005F1809">
        <w:rPr>
          <w:rFonts w:ascii="Arial" w:hAnsi="Arial" w:cs="Arial"/>
        </w:rPr>
        <w:t>En consideración a la naturaleza de la problemática asociada a la contaminación acústica y sus efectos sobre la salud humana, la convivencia y el bienestar, se considera necesario asignar la Presidencia de la Comisión al sector con mayor representativida</w:t>
      </w:r>
      <w:r w:rsidR="00CB2D5E" w:rsidRPr="005F1809">
        <w:rPr>
          <w:rFonts w:ascii="Arial" w:hAnsi="Arial" w:cs="Arial"/>
        </w:rPr>
        <w:t xml:space="preserve">d y competencia en la solución </w:t>
      </w:r>
      <w:r w:rsidRPr="005F1809">
        <w:rPr>
          <w:rFonts w:ascii="Arial" w:hAnsi="Arial" w:cs="Arial"/>
        </w:rPr>
        <w:t>e</w:t>
      </w:r>
      <w:r w:rsidR="00CB2D5E" w:rsidRPr="005F1809">
        <w:rPr>
          <w:rFonts w:ascii="Arial" w:hAnsi="Arial" w:cs="Arial"/>
        </w:rPr>
        <w:t>n la</w:t>
      </w:r>
      <w:r w:rsidRPr="005F1809">
        <w:rPr>
          <w:rFonts w:ascii="Arial" w:hAnsi="Arial" w:cs="Arial"/>
        </w:rPr>
        <w:t xml:space="preserve"> problemática</w:t>
      </w:r>
      <w:r w:rsidR="00CB2D5E" w:rsidRPr="005F1809">
        <w:rPr>
          <w:rFonts w:ascii="Arial" w:hAnsi="Arial" w:cs="Arial"/>
        </w:rPr>
        <w:t xml:space="preserve"> que da origen a la p</w:t>
      </w:r>
      <w:r w:rsidRPr="005F1809">
        <w:rPr>
          <w:rFonts w:ascii="Arial" w:hAnsi="Arial" w:cs="Arial"/>
        </w:rPr>
        <w:t>olítica. En este sentido, la evidencia científica y el enfoque adoptado por la Ley 2450 de 2025 reconocen el ruido como un factor de riesgo para la salud pública, asociado, entre otros efectos, a enfermedades cardiovasculares, trastornos del sueño, afectaciones a la salud mental y deterioro de la calidad de vida.</w:t>
      </w:r>
    </w:p>
    <w:p w14:paraId="3FEC9B1E" w14:textId="77777777" w:rsidR="00F93498" w:rsidRPr="005F1809" w:rsidRDefault="00F93498" w:rsidP="00C367EF">
      <w:pPr>
        <w:pStyle w:val="NormalWeb"/>
        <w:jc w:val="both"/>
        <w:rPr>
          <w:rFonts w:ascii="Arial" w:hAnsi="Arial" w:cs="Arial"/>
        </w:rPr>
      </w:pPr>
      <w:r w:rsidRPr="005F1809">
        <w:rPr>
          <w:rFonts w:ascii="Arial" w:hAnsi="Arial" w:cs="Arial"/>
        </w:rPr>
        <w:t>Bajo este enfoque, se considera técnicamente pertinente que la Presidencia de la Comisión sea ejercida por el Ministerio de Salud y Protección Social, como entidad rectora del sector salud y responsable de orientar las políticas públicas relacionadas con la protección de la salud de la población. Lo anterior permite fortalecer el enfoque preventivo y de salud pública de la política, asegurar la articulación de acciones orientadas a la reducción de impactos sanitarios derivados del ruido y promover una coordinación intersectorial coherente con los objetivos definidos en la Ley 2450 de 2025.</w:t>
      </w:r>
    </w:p>
    <w:p w14:paraId="41C27412" w14:textId="056D89D9" w:rsidR="00F93498" w:rsidRPr="005F1809" w:rsidRDefault="00F93498" w:rsidP="00F93498">
      <w:pPr>
        <w:pStyle w:val="NormalWeb"/>
        <w:jc w:val="both"/>
        <w:rPr>
          <w:rFonts w:ascii="Arial" w:hAnsi="Arial" w:cs="Arial"/>
        </w:rPr>
      </w:pPr>
      <w:r w:rsidRPr="005F1809">
        <w:rPr>
          <w:rFonts w:ascii="Arial" w:hAnsi="Arial" w:cs="Arial"/>
        </w:rPr>
        <w:t>Asimismo, resulta necesario definir de manera expresa las funciones asociadas a la Presidencia, con el fin de asegurar la eficiencia operativa de la Comisión y la correcta articulación con la Secretaría Técnica. La asignación de funciones orientadas a la convocatoria de sesiones, la conducción de los espacios deliberativos, la coordinación del plan de acción y de las agendas de trabajo, así como la promoción de la articulación entre los miembros, fortalece la continuidad de los procesos, la trazabilidad de las decisiones adoptadas y el cumplimiento oportuno de los objetivos de la Comisión.</w:t>
      </w:r>
    </w:p>
    <w:p w14:paraId="7A7B9AAF" w14:textId="40877D90" w:rsidR="00F93498" w:rsidRPr="005F1809" w:rsidRDefault="00F93498" w:rsidP="00FA4044">
      <w:pPr>
        <w:pStyle w:val="NormalWeb"/>
        <w:jc w:val="both"/>
        <w:rPr>
          <w:rFonts w:ascii="Arial" w:hAnsi="Arial" w:cs="Arial"/>
        </w:rPr>
      </w:pPr>
    </w:p>
    <w:p w14:paraId="28E8D162" w14:textId="77777777" w:rsidR="00F93498" w:rsidRPr="005F1809" w:rsidRDefault="00F93498" w:rsidP="00FA4044">
      <w:pPr>
        <w:pStyle w:val="NormalWeb"/>
        <w:jc w:val="both"/>
        <w:rPr>
          <w:rFonts w:ascii="Arial" w:hAnsi="Arial" w:cs="Arial"/>
        </w:rPr>
      </w:pPr>
    </w:p>
    <w:p w14:paraId="1C07D35A" w14:textId="77777777" w:rsidR="005202C6" w:rsidRPr="005F1809" w:rsidRDefault="005202C6" w:rsidP="005202C6">
      <w:pPr>
        <w:pStyle w:val="NormalWeb"/>
        <w:rPr>
          <w:rFonts w:ascii="Arial" w:hAnsi="Arial" w:cs="Arial"/>
        </w:rPr>
      </w:pPr>
      <w:r w:rsidRPr="005F1809">
        <w:rPr>
          <w:rFonts w:ascii="Arial" w:hAnsi="Arial" w:cs="Arial"/>
        </w:rPr>
        <w:t xml:space="preserve">Por lo anterior, se proponen los siguientes artículos: </w:t>
      </w:r>
    </w:p>
    <w:p w14:paraId="2EF46DF3" w14:textId="013B7871" w:rsidR="00F93498" w:rsidRPr="005F1809" w:rsidRDefault="00F93498" w:rsidP="00F93498">
      <w:pPr>
        <w:tabs>
          <w:tab w:val="left" w:pos="1410"/>
        </w:tabs>
        <w:ind w:left="720"/>
        <w:rPr>
          <w:rFonts w:cs="Arial"/>
          <w:bCs/>
          <w:i/>
          <w:sz w:val="24"/>
          <w:szCs w:val="24"/>
        </w:rPr>
      </w:pPr>
      <w:r w:rsidRPr="005F1809">
        <w:rPr>
          <w:rFonts w:cs="Arial"/>
          <w:bCs/>
          <w:i/>
          <w:sz w:val="24"/>
          <w:szCs w:val="24"/>
        </w:rPr>
        <w:t>“Artículo 9. De la Presidencia. La Comisión de seguimiento e implementación de la política de calidad acústica estará presidida por el delegado del Ministerio de Salud y Protección Social.</w:t>
      </w:r>
    </w:p>
    <w:p w14:paraId="722AC68F" w14:textId="77777777" w:rsidR="00F93498" w:rsidRPr="005F1809" w:rsidRDefault="00F93498" w:rsidP="00F93498">
      <w:pPr>
        <w:tabs>
          <w:tab w:val="left" w:pos="1410"/>
        </w:tabs>
        <w:ind w:left="720"/>
        <w:rPr>
          <w:rFonts w:cs="Arial"/>
          <w:bCs/>
          <w:i/>
          <w:sz w:val="24"/>
          <w:szCs w:val="24"/>
        </w:rPr>
      </w:pPr>
    </w:p>
    <w:p w14:paraId="6E10607F" w14:textId="77777777" w:rsidR="00F93498" w:rsidRPr="005F1809" w:rsidRDefault="00F93498" w:rsidP="00F93498">
      <w:pPr>
        <w:tabs>
          <w:tab w:val="left" w:pos="1410"/>
        </w:tabs>
        <w:ind w:left="720"/>
        <w:rPr>
          <w:rFonts w:cs="Arial"/>
          <w:bCs/>
          <w:i/>
          <w:sz w:val="24"/>
          <w:szCs w:val="24"/>
        </w:rPr>
      </w:pPr>
      <w:r w:rsidRPr="005F1809">
        <w:rPr>
          <w:rFonts w:cs="Arial"/>
          <w:bCs/>
          <w:i/>
          <w:sz w:val="24"/>
          <w:szCs w:val="24"/>
        </w:rPr>
        <w:t>Artículo 10. Funciones del presidente. La presidencia de la comisión tendrá a su cargo las siguientes funciones:</w:t>
      </w:r>
    </w:p>
    <w:p w14:paraId="0552CE6B" w14:textId="77777777" w:rsidR="00F93498" w:rsidRPr="005F1809" w:rsidRDefault="00F93498" w:rsidP="00F93498">
      <w:pPr>
        <w:tabs>
          <w:tab w:val="left" w:pos="1410"/>
        </w:tabs>
        <w:ind w:left="720"/>
        <w:rPr>
          <w:rFonts w:cs="Arial"/>
          <w:bCs/>
          <w:i/>
          <w:sz w:val="24"/>
          <w:szCs w:val="24"/>
        </w:rPr>
      </w:pPr>
    </w:p>
    <w:p w14:paraId="54C59019" w14:textId="77777777" w:rsidR="00F93498" w:rsidRPr="005F1809" w:rsidRDefault="00F93498" w:rsidP="00F93498">
      <w:pPr>
        <w:tabs>
          <w:tab w:val="left" w:pos="1410"/>
        </w:tabs>
        <w:ind w:left="720"/>
        <w:rPr>
          <w:rFonts w:cs="Arial"/>
          <w:bCs/>
          <w:i/>
          <w:sz w:val="24"/>
          <w:szCs w:val="24"/>
        </w:rPr>
      </w:pPr>
      <w:r w:rsidRPr="005F1809">
        <w:rPr>
          <w:rFonts w:cs="Arial"/>
          <w:bCs/>
          <w:i/>
          <w:sz w:val="24"/>
          <w:szCs w:val="24"/>
        </w:rPr>
        <w:t>1.</w:t>
      </w:r>
      <w:r w:rsidRPr="005F1809">
        <w:rPr>
          <w:rFonts w:cs="Arial"/>
          <w:bCs/>
          <w:i/>
          <w:sz w:val="24"/>
          <w:szCs w:val="24"/>
        </w:rPr>
        <w:tab/>
        <w:t>Solicitar a la secretaría técnica que convoque a las sesiones.</w:t>
      </w:r>
    </w:p>
    <w:p w14:paraId="3A35F5E2" w14:textId="77777777" w:rsidR="00F93498" w:rsidRPr="005F1809" w:rsidRDefault="00F93498" w:rsidP="00F93498">
      <w:pPr>
        <w:tabs>
          <w:tab w:val="left" w:pos="1410"/>
        </w:tabs>
        <w:ind w:left="720"/>
        <w:rPr>
          <w:rFonts w:cs="Arial"/>
          <w:bCs/>
          <w:i/>
          <w:sz w:val="24"/>
          <w:szCs w:val="24"/>
        </w:rPr>
      </w:pPr>
      <w:r w:rsidRPr="005F1809">
        <w:rPr>
          <w:rFonts w:cs="Arial"/>
          <w:bCs/>
          <w:i/>
          <w:sz w:val="24"/>
          <w:szCs w:val="24"/>
        </w:rPr>
        <w:t>2.</w:t>
      </w:r>
      <w:r w:rsidRPr="005F1809">
        <w:rPr>
          <w:rFonts w:cs="Arial"/>
          <w:bCs/>
          <w:i/>
          <w:sz w:val="24"/>
          <w:szCs w:val="24"/>
        </w:rPr>
        <w:tab/>
        <w:t xml:space="preserve">Orientar y presidir las sesiones ordinarias y extraordinarias de la Comisión </w:t>
      </w:r>
    </w:p>
    <w:p w14:paraId="4326C108" w14:textId="77777777" w:rsidR="00F93498" w:rsidRPr="005F1809" w:rsidRDefault="00F93498" w:rsidP="00F93498">
      <w:pPr>
        <w:tabs>
          <w:tab w:val="left" w:pos="1410"/>
        </w:tabs>
        <w:ind w:left="720"/>
        <w:rPr>
          <w:rFonts w:cs="Arial"/>
          <w:bCs/>
          <w:i/>
          <w:sz w:val="24"/>
          <w:szCs w:val="24"/>
        </w:rPr>
      </w:pPr>
      <w:r w:rsidRPr="005F1809">
        <w:rPr>
          <w:rFonts w:cs="Arial"/>
          <w:bCs/>
          <w:i/>
          <w:sz w:val="24"/>
          <w:szCs w:val="24"/>
        </w:rPr>
        <w:t>3.</w:t>
      </w:r>
      <w:r w:rsidRPr="005F1809">
        <w:rPr>
          <w:rFonts w:cs="Arial"/>
          <w:bCs/>
          <w:i/>
          <w:sz w:val="24"/>
          <w:szCs w:val="24"/>
        </w:rPr>
        <w:tab/>
        <w:t xml:space="preserve">Coordinar con la secretaría técnica, la preparación del plan de acción anual, así como la agenda de las sesiones. </w:t>
      </w:r>
    </w:p>
    <w:p w14:paraId="40C83941" w14:textId="77777777" w:rsidR="00F93498" w:rsidRPr="005F1809" w:rsidRDefault="00F93498" w:rsidP="00F93498">
      <w:pPr>
        <w:tabs>
          <w:tab w:val="left" w:pos="1410"/>
        </w:tabs>
        <w:ind w:left="720"/>
        <w:rPr>
          <w:rFonts w:cs="Arial"/>
          <w:bCs/>
          <w:i/>
          <w:sz w:val="24"/>
          <w:szCs w:val="24"/>
        </w:rPr>
      </w:pPr>
      <w:r w:rsidRPr="005F1809">
        <w:rPr>
          <w:rFonts w:cs="Arial"/>
          <w:bCs/>
          <w:i/>
          <w:sz w:val="24"/>
          <w:szCs w:val="24"/>
        </w:rPr>
        <w:t>4.</w:t>
      </w:r>
      <w:r w:rsidRPr="005F1809">
        <w:rPr>
          <w:rFonts w:cs="Arial"/>
          <w:bCs/>
          <w:i/>
          <w:sz w:val="24"/>
          <w:szCs w:val="24"/>
        </w:rPr>
        <w:tab/>
        <w:t>Promover la articulación y coordinación entre los miembros de la Comisión</w:t>
      </w:r>
    </w:p>
    <w:p w14:paraId="5C495B49" w14:textId="77777777" w:rsidR="00F93498" w:rsidRPr="005F1809" w:rsidRDefault="00F93498" w:rsidP="00F93498">
      <w:pPr>
        <w:tabs>
          <w:tab w:val="left" w:pos="1410"/>
        </w:tabs>
        <w:ind w:left="720"/>
        <w:rPr>
          <w:rFonts w:cs="Arial"/>
          <w:bCs/>
          <w:i/>
          <w:sz w:val="24"/>
          <w:szCs w:val="24"/>
        </w:rPr>
      </w:pPr>
      <w:r w:rsidRPr="005F1809">
        <w:rPr>
          <w:rFonts w:cs="Arial"/>
          <w:bCs/>
          <w:i/>
          <w:sz w:val="24"/>
          <w:szCs w:val="24"/>
        </w:rPr>
        <w:t>5.</w:t>
      </w:r>
      <w:r w:rsidRPr="005F1809">
        <w:rPr>
          <w:rFonts w:cs="Arial"/>
          <w:bCs/>
          <w:i/>
          <w:sz w:val="24"/>
          <w:szCs w:val="24"/>
        </w:rPr>
        <w:tab/>
        <w:t>Firmar las actas de las sesiones junto con la secretaría técnica.</w:t>
      </w:r>
    </w:p>
    <w:p w14:paraId="3ED4F877" w14:textId="77777777" w:rsidR="00F93498" w:rsidRPr="005F1809" w:rsidRDefault="00F93498" w:rsidP="00F93498">
      <w:pPr>
        <w:tabs>
          <w:tab w:val="left" w:pos="1410"/>
        </w:tabs>
        <w:ind w:left="720"/>
        <w:rPr>
          <w:rFonts w:cs="Arial"/>
          <w:bCs/>
          <w:i/>
          <w:sz w:val="24"/>
          <w:szCs w:val="24"/>
        </w:rPr>
      </w:pPr>
      <w:r w:rsidRPr="005F1809">
        <w:rPr>
          <w:rFonts w:cs="Arial"/>
          <w:bCs/>
          <w:i/>
          <w:sz w:val="24"/>
          <w:szCs w:val="24"/>
        </w:rPr>
        <w:t>6.</w:t>
      </w:r>
      <w:r w:rsidRPr="005F1809">
        <w:rPr>
          <w:rFonts w:cs="Arial"/>
          <w:bCs/>
          <w:i/>
          <w:sz w:val="24"/>
          <w:szCs w:val="24"/>
        </w:rPr>
        <w:tab/>
        <w:t xml:space="preserve">Las demás que sean establecidas en el reglamento operativo.” </w:t>
      </w:r>
    </w:p>
    <w:p w14:paraId="5996B09A" w14:textId="77777777" w:rsidR="0067488D" w:rsidRPr="005F1809" w:rsidRDefault="0067488D" w:rsidP="0067488D">
      <w:pPr>
        <w:pStyle w:val="Prrafodelista"/>
        <w:tabs>
          <w:tab w:val="left" w:pos="1410"/>
        </w:tabs>
        <w:ind w:left="1800"/>
        <w:rPr>
          <w:rFonts w:cs="Arial"/>
          <w:sz w:val="24"/>
          <w:szCs w:val="24"/>
        </w:rPr>
      </w:pPr>
    </w:p>
    <w:p w14:paraId="0501DC11" w14:textId="77777777" w:rsidR="00BA7836" w:rsidRPr="005F1809" w:rsidRDefault="00BA7836" w:rsidP="00BA7836">
      <w:pPr>
        <w:pStyle w:val="Ttulo2"/>
        <w:rPr>
          <w:rFonts w:ascii="Arial" w:hAnsi="Arial" w:cs="Arial"/>
          <w:sz w:val="24"/>
          <w:szCs w:val="24"/>
        </w:rPr>
      </w:pPr>
      <w:r w:rsidRPr="005F1809">
        <w:rPr>
          <w:rFonts w:ascii="Arial" w:hAnsi="Arial" w:cs="Arial"/>
          <w:sz w:val="24"/>
          <w:szCs w:val="24"/>
        </w:rPr>
        <w:t xml:space="preserve">2.7 Secretaría Técnica y funciones de la Secretaría Técnica </w:t>
      </w:r>
    </w:p>
    <w:p w14:paraId="33641CAB" w14:textId="341D686E" w:rsidR="0067488D" w:rsidRPr="005F1809" w:rsidRDefault="008E3F20" w:rsidP="00FA4044">
      <w:pPr>
        <w:pStyle w:val="NormalWeb"/>
        <w:jc w:val="both"/>
        <w:rPr>
          <w:rFonts w:ascii="Arial" w:hAnsi="Arial" w:cs="Arial"/>
        </w:rPr>
      </w:pPr>
      <w:r w:rsidRPr="005F1809">
        <w:rPr>
          <w:rFonts w:ascii="Arial" w:hAnsi="Arial" w:cs="Arial"/>
        </w:rPr>
        <w:t xml:space="preserve">En relación con la secretaría técnica y el establecimiento de sus funciones, es necesario </w:t>
      </w:r>
      <w:r w:rsidR="0067488D" w:rsidRPr="005F1809">
        <w:rPr>
          <w:rFonts w:ascii="Arial" w:hAnsi="Arial" w:cs="Arial"/>
        </w:rPr>
        <w:t>para garantizar la operatividad, continuidad y soporte técnico-administrativo de la Comisión. Dada la naturaleza intersectorial de esta instancia y la complejidad de los procesos asociados a la formulación, implementación y seguimiento de la</w:t>
      </w:r>
      <w:r w:rsidRPr="005F1809">
        <w:rPr>
          <w:rFonts w:ascii="Arial" w:hAnsi="Arial" w:cs="Arial"/>
        </w:rPr>
        <w:t xml:space="preserve"> precitada</w:t>
      </w:r>
      <w:r w:rsidR="0067488D" w:rsidRPr="005F1809">
        <w:rPr>
          <w:rFonts w:ascii="Arial" w:hAnsi="Arial" w:cs="Arial"/>
        </w:rPr>
        <w:t xml:space="preserve"> política, se requiere una entidad con capacidad de coordinación institucional y experiencia en la gestión técnica de políticas públicas</w:t>
      </w:r>
      <w:r w:rsidRPr="005F1809">
        <w:rPr>
          <w:rFonts w:ascii="Arial" w:hAnsi="Arial" w:cs="Arial"/>
        </w:rPr>
        <w:t xml:space="preserve"> en relación con la problemá</w:t>
      </w:r>
      <w:r w:rsidR="00CB2D5E" w:rsidRPr="005F1809">
        <w:rPr>
          <w:rFonts w:ascii="Arial" w:hAnsi="Arial" w:cs="Arial"/>
        </w:rPr>
        <w:t>t</w:t>
      </w:r>
      <w:r w:rsidRPr="005F1809">
        <w:rPr>
          <w:rFonts w:ascii="Arial" w:hAnsi="Arial" w:cs="Arial"/>
        </w:rPr>
        <w:t>ica</w:t>
      </w:r>
      <w:r w:rsidR="0067488D" w:rsidRPr="005F1809">
        <w:rPr>
          <w:rFonts w:ascii="Arial" w:hAnsi="Arial" w:cs="Arial"/>
        </w:rPr>
        <w:t xml:space="preserve">, que </w:t>
      </w:r>
      <w:r w:rsidRPr="005F1809">
        <w:rPr>
          <w:rFonts w:ascii="Arial" w:hAnsi="Arial" w:cs="Arial"/>
        </w:rPr>
        <w:t xml:space="preserve">prevea </w:t>
      </w:r>
      <w:r w:rsidR="0067488D" w:rsidRPr="005F1809">
        <w:rPr>
          <w:rFonts w:ascii="Arial" w:hAnsi="Arial" w:cs="Arial"/>
        </w:rPr>
        <w:t>el adecuado desarrollo de las funciones de apoyo, articulación y seguimiento.</w:t>
      </w:r>
    </w:p>
    <w:p w14:paraId="22AC9135" w14:textId="77777777" w:rsidR="0067488D" w:rsidRPr="005F1809" w:rsidRDefault="0067488D" w:rsidP="00FA4044">
      <w:pPr>
        <w:pStyle w:val="NormalWeb"/>
        <w:jc w:val="both"/>
        <w:rPr>
          <w:rFonts w:ascii="Arial" w:hAnsi="Arial" w:cs="Arial"/>
        </w:rPr>
      </w:pPr>
      <w:r w:rsidRPr="005F1809">
        <w:rPr>
          <w:rFonts w:ascii="Arial" w:hAnsi="Arial" w:cs="Arial"/>
        </w:rPr>
        <w:t>En este sentido, el artículo 9 de la Ley 2450 de 2025 asigna expresamente la Secretaría Técnica de la Comisión al Ministerio de Ambiente y Desarrollo Sostenible, reconociendo su rol como rector de la política ambiental y su competencia directa en la gestión de la calidad acústica. Adicionalmente, el parágrafo 2 del mismo artículo establece que, durante los primeros diez (10) años de vigencia de la Ley, el Ministerio de Ambiente y Desarrollo Sostenible y el Departamento Nacional de Planeación deberán remitir de manera conjunta un informe anual al Congreso de la República y a la Procuraduría General de la Nación sobre el estado de implementación de la Ley. Este mandato legal hace necesaria una coordinación estructural y permanente entre ambas entidades en el ejercicio de la Secretaría Técnica, particularmente en lo relacionado con la planificación, el seguimiento y la evaluación de resultados.</w:t>
      </w:r>
    </w:p>
    <w:p w14:paraId="514B63DD" w14:textId="77777777" w:rsidR="0067488D" w:rsidRPr="005F1809" w:rsidRDefault="0067488D" w:rsidP="00FA4044">
      <w:pPr>
        <w:pStyle w:val="NormalWeb"/>
        <w:jc w:val="both"/>
        <w:rPr>
          <w:rFonts w:ascii="Arial" w:hAnsi="Arial" w:cs="Arial"/>
        </w:rPr>
      </w:pPr>
      <w:r w:rsidRPr="005F1809">
        <w:rPr>
          <w:rFonts w:ascii="Arial" w:hAnsi="Arial" w:cs="Arial"/>
        </w:rPr>
        <w:t>Por lo anterior, la definición de una Secretaría Técnica a cargo del Ministerio de Ambiente y Desarrollo Sostenible, en coordinación con el Departamento Nacional de Planeación, permite articular las competencias ambientales y sectoriales con los lineamientos metodológicos para la formulación, monitoreo y evaluación de políticas públicas, garantizando coherencia con los instrumentos de planificación nacional y fortaleciendo el enfoque intersectorial y territorial de la Política Nacional de Calidad Acústica. Esta coordinación resulta clave para asegurar la trazabilidad de los compromisos, la sistematización de la información, la gestión técnica de los espacios de articulación y el cumplimiento oportuno de los deberes de reporte y rendición de cuentas establecidos en la Ley.</w:t>
      </w:r>
    </w:p>
    <w:p w14:paraId="5442E54F" w14:textId="77777777" w:rsidR="0067488D" w:rsidRPr="005F1809" w:rsidRDefault="0067488D" w:rsidP="00FA4044">
      <w:pPr>
        <w:pStyle w:val="NormalWeb"/>
        <w:jc w:val="both"/>
        <w:rPr>
          <w:rFonts w:ascii="Arial" w:hAnsi="Arial" w:cs="Arial"/>
        </w:rPr>
      </w:pPr>
      <w:r w:rsidRPr="005F1809">
        <w:rPr>
          <w:rFonts w:ascii="Arial" w:hAnsi="Arial" w:cs="Arial"/>
        </w:rPr>
        <w:t>Asimismo, la definición expresa de las funciones de la Secretaría Técnica responde a la necesidad de contar con un soporte técnico y operativo que permita organizar y convocar las sesiones de la Comisión, documentar formalmente sus deliberaciones y decisiones, hacer seguimiento a los acuerdos adoptados y facilitar la articulación entre las entidades integrantes y los actores invitados. De igual manera, resulta necesario asignar funciones relacionadas con el diseño de instrumentos de planificación, monitoreo y evaluación, así como con la consolidación de los informes de seguimiento a</w:t>
      </w:r>
      <w:r w:rsidR="008E3F20" w:rsidRPr="005F1809">
        <w:rPr>
          <w:rFonts w:ascii="Arial" w:hAnsi="Arial" w:cs="Arial"/>
        </w:rPr>
        <w:t>nte el Congreso</w:t>
      </w:r>
      <w:r w:rsidRPr="005F1809">
        <w:rPr>
          <w:rFonts w:ascii="Arial" w:hAnsi="Arial" w:cs="Arial"/>
        </w:rPr>
        <w:t>.</w:t>
      </w:r>
    </w:p>
    <w:p w14:paraId="2563E13E" w14:textId="6A80487D" w:rsidR="0067488D" w:rsidRPr="005F1809" w:rsidRDefault="0067488D" w:rsidP="00FA4044">
      <w:pPr>
        <w:pStyle w:val="NormalWeb"/>
        <w:jc w:val="both"/>
        <w:rPr>
          <w:rFonts w:ascii="Arial" w:hAnsi="Arial" w:cs="Arial"/>
        </w:rPr>
      </w:pPr>
      <w:r w:rsidRPr="005F1809">
        <w:rPr>
          <w:rFonts w:ascii="Arial" w:hAnsi="Arial" w:cs="Arial"/>
        </w:rPr>
        <w:t xml:space="preserve">Finalmente, la previsión de un parágrafo que reconozca el apoyo técnico del Departamento Nacional de Planeación permite precisar su rol en el diseño metodológico, la armonización con planes y políticas nacionales </w:t>
      </w:r>
      <w:r w:rsidR="00B517DF">
        <w:rPr>
          <w:rFonts w:ascii="Arial" w:hAnsi="Arial" w:cs="Arial"/>
        </w:rPr>
        <w:t xml:space="preserve">de la Política de Calidad Acústica </w:t>
      </w:r>
      <w:r w:rsidRPr="005F1809">
        <w:rPr>
          <w:rFonts w:ascii="Arial" w:hAnsi="Arial" w:cs="Arial"/>
        </w:rPr>
        <w:t>y el seguimiento a resultados, sin que ello implique el traslado de responsabilidades institucionales. Esta delimitación contribuye a fortalecer la coordinación interinstitucional, evitando duplicidades o vacíos en el ejerc</w:t>
      </w:r>
      <w:r w:rsidR="008E3F20" w:rsidRPr="005F1809">
        <w:rPr>
          <w:rFonts w:ascii="Arial" w:hAnsi="Arial" w:cs="Arial"/>
        </w:rPr>
        <w:t>icio de las funciones asignadas.</w:t>
      </w:r>
    </w:p>
    <w:p w14:paraId="03C4BD53" w14:textId="77777777" w:rsidR="005202C6" w:rsidRPr="005F1809" w:rsidRDefault="0067488D" w:rsidP="005202C6">
      <w:pPr>
        <w:pStyle w:val="NormalWeb"/>
        <w:rPr>
          <w:rFonts w:ascii="Arial" w:hAnsi="Arial" w:cs="Arial"/>
        </w:rPr>
      </w:pPr>
      <w:r w:rsidRPr="005F1809">
        <w:rPr>
          <w:rFonts w:ascii="Arial" w:hAnsi="Arial" w:cs="Arial"/>
        </w:rPr>
        <w:t>Por lo anterior, se propone incluir el siguiente articulado:</w:t>
      </w:r>
    </w:p>
    <w:p w14:paraId="4D825C03" w14:textId="307B4755" w:rsidR="00F93498" w:rsidRPr="005F1809" w:rsidRDefault="00B2056C" w:rsidP="00F93498">
      <w:pPr>
        <w:ind w:left="720"/>
        <w:rPr>
          <w:rFonts w:cs="Arial"/>
          <w:i/>
          <w:sz w:val="24"/>
          <w:szCs w:val="24"/>
        </w:rPr>
      </w:pPr>
      <w:r w:rsidRPr="005F1809">
        <w:rPr>
          <w:rFonts w:cs="Arial"/>
          <w:i/>
          <w:sz w:val="24"/>
          <w:szCs w:val="24"/>
        </w:rPr>
        <w:t>“</w:t>
      </w:r>
      <w:r w:rsidR="00F93498" w:rsidRPr="005F1809">
        <w:rPr>
          <w:rFonts w:cs="Arial"/>
          <w:i/>
          <w:sz w:val="24"/>
          <w:szCs w:val="24"/>
        </w:rPr>
        <w:t>Artículo 11. Secretaría Técnica. La Secretaría Técnica de la Comisión Intersectorial para el Seguimiento e Implementación de la Política Nacional de Calidad Acústica estará a cargo del Ministerio de Ambiente y Desarrollo Sostenible a través de la Dirección de Asuntos Ambientales, Sectorial y Urbana (DAASU) o la que haga sus veces, en coordinación con el Departamento Nacional de Planeación, en el marco de sus competencias legales y sectoriales.</w:t>
      </w:r>
    </w:p>
    <w:p w14:paraId="2576AC6E" w14:textId="77777777" w:rsidR="00F93498" w:rsidRPr="005F1809" w:rsidRDefault="00F93498" w:rsidP="00F93498">
      <w:pPr>
        <w:ind w:left="720"/>
        <w:rPr>
          <w:rFonts w:cs="Arial"/>
          <w:i/>
          <w:sz w:val="24"/>
          <w:szCs w:val="24"/>
        </w:rPr>
      </w:pPr>
    </w:p>
    <w:p w14:paraId="1C36A625" w14:textId="1D10B82F" w:rsidR="00F93498" w:rsidRPr="005F1809" w:rsidRDefault="00F93498" w:rsidP="00F93498">
      <w:pPr>
        <w:ind w:left="720"/>
        <w:rPr>
          <w:rFonts w:cs="Arial"/>
          <w:i/>
          <w:sz w:val="24"/>
          <w:szCs w:val="24"/>
        </w:rPr>
      </w:pPr>
      <w:r w:rsidRPr="005F1809">
        <w:rPr>
          <w:rFonts w:cs="Arial"/>
          <w:i/>
          <w:sz w:val="24"/>
          <w:szCs w:val="24"/>
        </w:rPr>
        <w:t>Artículo 12. Funciones de la Secretaria Técnica: La Secretaría Técnica tendrá a su cargo, de manera compartida y articulada, las siguientes funciones:</w:t>
      </w:r>
    </w:p>
    <w:p w14:paraId="77908ECA" w14:textId="77777777" w:rsidR="00F93498" w:rsidRPr="005F1809" w:rsidRDefault="00F93498" w:rsidP="00F93498">
      <w:pPr>
        <w:ind w:left="720"/>
        <w:rPr>
          <w:rFonts w:cs="Arial"/>
          <w:i/>
          <w:sz w:val="24"/>
          <w:szCs w:val="24"/>
        </w:rPr>
      </w:pPr>
    </w:p>
    <w:p w14:paraId="7FC2C1CE" w14:textId="4DC257F2" w:rsidR="00F93498" w:rsidRPr="005F1809" w:rsidRDefault="00F93498" w:rsidP="00F93498">
      <w:pPr>
        <w:ind w:left="720"/>
        <w:rPr>
          <w:rFonts w:cs="Arial"/>
          <w:i/>
          <w:sz w:val="24"/>
          <w:szCs w:val="24"/>
        </w:rPr>
      </w:pPr>
      <w:r w:rsidRPr="005F1809">
        <w:rPr>
          <w:rFonts w:cs="Arial"/>
          <w:i/>
          <w:sz w:val="24"/>
          <w:szCs w:val="24"/>
        </w:rPr>
        <w:t>1.</w:t>
      </w:r>
      <w:r w:rsidRPr="005F1809">
        <w:rPr>
          <w:rFonts w:cs="Arial"/>
          <w:i/>
          <w:sz w:val="24"/>
          <w:szCs w:val="24"/>
        </w:rPr>
        <w:tab/>
        <w:t>Citar a las sesiones de la Comisión.</w:t>
      </w:r>
    </w:p>
    <w:p w14:paraId="6D9207B9" w14:textId="33B4BA41" w:rsidR="00F93498" w:rsidRPr="005F1809" w:rsidRDefault="00F93498" w:rsidP="00F93498">
      <w:pPr>
        <w:ind w:left="720"/>
        <w:rPr>
          <w:rFonts w:cs="Arial"/>
          <w:i/>
          <w:sz w:val="24"/>
          <w:szCs w:val="24"/>
        </w:rPr>
      </w:pPr>
      <w:r w:rsidRPr="005F1809">
        <w:rPr>
          <w:rFonts w:cs="Arial"/>
          <w:i/>
          <w:sz w:val="24"/>
          <w:szCs w:val="24"/>
        </w:rPr>
        <w:t>2.</w:t>
      </w:r>
      <w:r w:rsidRPr="005F1809">
        <w:rPr>
          <w:rFonts w:cs="Arial"/>
          <w:i/>
          <w:sz w:val="24"/>
          <w:szCs w:val="24"/>
        </w:rPr>
        <w:tab/>
        <w:t>Elaborar, archivar y custodiar las actas de cada sesión.</w:t>
      </w:r>
    </w:p>
    <w:p w14:paraId="163F4935" w14:textId="77777777" w:rsidR="00F93498" w:rsidRPr="005F1809" w:rsidRDefault="00F93498" w:rsidP="00F93498">
      <w:pPr>
        <w:ind w:left="720"/>
        <w:rPr>
          <w:rFonts w:cs="Arial"/>
          <w:i/>
          <w:sz w:val="24"/>
          <w:szCs w:val="24"/>
        </w:rPr>
      </w:pPr>
      <w:r w:rsidRPr="005F1809">
        <w:rPr>
          <w:rFonts w:cs="Arial"/>
          <w:i/>
          <w:sz w:val="24"/>
          <w:szCs w:val="24"/>
        </w:rPr>
        <w:t>3.</w:t>
      </w:r>
      <w:r w:rsidRPr="005F1809">
        <w:rPr>
          <w:rFonts w:cs="Arial"/>
          <w:i/>
          <w:sz w:val="24"/>
          <w:szCs w:val="24"/>
        </w:rPr>
        <w:tab/>
        <w:t>Hacer seguimiento al cumplimiento de las decisiones, compromisos, y acuerdos definidos en el marco de la Comisión.</w:t>
      </w:r>
    </w:p>
    <w:p w14:paraId="14E8399E" w14:textId="77777777" w:rsidR="00F93498" w:rsidRPr="005F1809" w:rsidRDefault="00F93498" w:rsidP="00F93498">
      <w:pPr>
        <w:ind w:left="720"/>
        <w:rPr>
          <w:rFonts w:cs="Arial"/>
          <w:i/>
          <w:sz w:val="24"/>
          <w:szCs w:val="24"/>
        </w:rPr>
      </w:pPr>
      <w:r w:rsidRPr="005F1809">
        <w:rPr>
          <w:rFonts w:cs="Arial"/>
          <w:i/>
          <w:sz w:val="24"/>
          <w:szCs w:val="24"/>
        </w:rPr>
        <w:t>4.</w:t>
      </w:r>
      <w:r w:rsidRPr="005F1809">
        <w:rPr>
          <w:rFonts w:cs="Arial"/>
          <w:i/>
          <w:sz w:val="24"/>
          <w:szCs w:val="24"/>
        </w:rPr>
        <w:tab/>
        <w:t>Gestionar la articulación técnica y operativa entre las entidades integrantes y las instancias invitadas.</w:t>
      </w:r>
    </w:p>
    <w:p w14:paraId="2BF72131" w14:textId="0C6A5E10" w:rsidR="00F93498" w:rsidRPr="005F1809" w:rsidRDefault="00F93498" w:rsidP="00F93498">
      <w:pPr>
        <w:ind w:left="720"/>
        <w:rPr>
          <w:rFonts w:cs="Arial"/>
          <w:i/>
          <w:sz w:val="24"/>
          <w:szCs w:val="24"/>
        </w:rPr>
      </w:pPr>
      <w:r w:rsidRPr="005F1809">
        <w:rPr>
          <w:rFonts w:cs="Arial"/>
          <w:i/>
          <w:sz w:val="24"/>
          <w:szCs w:val="24"/>
        </w:rPr>
        <w:t>5.</w:t>
      </w:r>
      <w:r w:rsidRPr="005F1809">
        <w:rPr>
          <w:rFonts w:cs="Arial"/>
          <w:i/>
          <w:sz w:val="24"/>
          <w:szCs w:val="24"/>
        </w:rPr>
        <w:tab/>
        <w:t>Proponer, en coordinación con el Departamento Nacional de Planeación y con la participación de las entidade</w:t>
      </w:r>
      <w:r w:rsidR="005F1809" w:rsidRPr="005F1809">
        <w:rPr>
          <w:rFonts w:cs="Arial"/>
          <w:i/>
          <w:sz w:val="24"/>
          <w:szCs w:val="24"/>
        </w:rPr>
        <w:t>s que sean miembros permanentes</w:t>
      </w:r>
      <w:r w:rsidRPr="005F1809">
        <w:rPr>
          <w:rFonts w:cs="Arial"/>
          <w:i/>
          <w:sz w:val="24"/>
          <w:szCs w:val="24"/>
        </w:rPr>
        <w:t xml:space="preserve"> a la Comisión, los instrumentos de planificación, monitoreo y evaluación requeridos para el seguimiento de la Política Nacional de Calidad Acústica, de conformidad con los lineamientos para políticas públicas expedidos por el DNP, y en apoyo a su implementación progresiva, intersectorial y territorializada.</w:t>
      </w:r>
    </w:p>
    <w:p w14:paraId="42C11085" w14:textId="08477389" w:rsidR="00F93498" w:rsidRPr="005F1809" w:rsidRDefault="00F93498" w:rsidP="00F93498">
      <w:pPr>
        <w:ind w:left="720"/>
        <w:rPr>
          <w:rFonts w:cs="Arial"/>
          <w:i/>
          <w:sz w:val="24"/>
          <w:szCs w:val="24"/>
        </w:rPr>
      </w:pPr>
      <w:r w:rsidRPr="005F1809">
        <w:rPr>
          <w:rFonts w:cs="Arial"/>
          <w:i/>
          <w:sz w:val="24"/>
          <w:szCs w:val="24"/>
        </w:rPr>
        <w:t>6.</w:t>
      </w:r>
      <w:r w:rsidRPr="005F1809">
        <w:rPr>
          <w:rFonts w:cs="Arial"/>
          <w:i/>
          <w:sz w:val="24"/>
          <w:szCs w:val="24"/>
        </w:rPr>
        <w:tab/>
        <w:t>Coordinar con el Departamento Nacional de Planeación la consolidación y envío del informe de cumplimiento de la Política Nacional de Calidad Acústica ante el Congreso de la República, de conformidad con lo establecido en el parágrafo 2 del artículo 9 de la Ley 2450 de 2025, con los insumos generados por las entidades que actúan como miembros de la Comisión.</w:t>
      </w:r>
    </w:p>
    <w:p w14:paraId="03A38F3E" w14:textId="77777777" w:rsidR="00F93498" w:rsidRPr="005F1809" w:rsidRDefault="00F93498" w:rsidP="00F93498">
      <w:pPr>
        <w:ind w:left="720"/>
        <w:rPr>
          <w:rFonts w:cs="Arial"/>
          <w:i/>
          <w:sz w:val="24"/>
          <w:szCs w:val="24"/>
        </w:rPr>
      </w:pPr>
    </w:p>
    <w:p w14:paraId="77BD2C40" w14:textId="2B0863A4" w:rsidR="00F93498" w:rsidRPr="005F1809" w:rsidRDefault="00F93498" w:rsidP="00F93498">
      <w:pPr>
        <w:ind w:left="720"/>
        <w:rPr>
          <w:rFonts w:cs="Arial"/>
          <w:i/>
          <w:sz w:val="24"/>
          <w:szCs w:val="24"/>
        </w:rPr>
      </w:pPr>
      <w:r w:rsidRPr="005F1809">
        <w:rPr>
          <w:rFonts w:cs="Arial"/>
          <w:i/>
          <w:sz w:val="24"/>
          <w:szCs w:val="24"/>
        </w:rPr>
        <w:t>Parágrafo. El Departamento Nacional de Planeación apoyará técnicamente, a través de sus direcciones competentes, el diseño metodológico, la armonización con planes y políticas nacionales y el seguimiento a resultados, sin que ello implique el traslado de la responsabilidad institucional sobre el cumplimiento de las funciones asignadas a la Comisión.”</w:t>
      </w:r>
    </w:p>
    <w:p w14:paraId="4B34182B" w14:textId="77777777" w:rsidR="00F93498" w:rsidRPr="005F1809" w:rsidRDefault="00F93498" w:rsidP="00F93498">
      <w:pPr>
        <w:ind w:left="720"/>
        <w:rPr>
          <w:rFonts w:cs="Arial"/>
          <w:i/>
          <w:sz w:val="24"/>
          <w:szCs w:val="24"/>
        </w:rPr>
      </w:pPr>
    </w:p>
    <w:p w14:paraId="2A476700" w14:textId="77777777" w:rsidR="00B2056C" w:rsidRPr="005F1809" w:rsidRDefault="00B2056C" w:rsidP="00B2056C">
      <w:pPr>
        <w:ind w:left="720"/>
        <w:rPr>
          <w:rFonts w:cs="Arial"/>
          <w:sz w:val="24"/>
          <w:szCs w:val="24"/>
        </w:rPr>
      </w:pPr>
    </w:p>
    <w:p w14:paraId="104738A1" w14:textId="77777777" w:rsidR="00B2056C" w:rsidRPr="005F1809" w:rsidRDefault="00B2056C" w:rsidP="00B2056C">
      <w:pPr>
        <w:pStyle w:val="Ttulo2"/>
        <w:rPr>
          <w:rFonts w:ascii="Arial" w:hAnsi="Arial" w:cs="Arial"/>
          <w:sz w:val="24"/>
          <w:szCs w:val="24"/>
        </w:rPr>
      </w:pPr>
      <w:r w:rsidRPr="005F1809">
        <w:rPr>
          <w:rFonts w:ascii="Arial" w:hAnsi="Arial" w:cs="Arial"/>
          <w:sz w:val="24"/>
          <w:szCs w:val="24"/>
        </w:rPr>
        <w:t>2.8 Reglamento interno de la comisión</w:t>
      </w:r>
    </w:p>
    <w:p w14:paraId="175432DC" w14:textId="77777777" w:rsidR="007D4395" w:rsidRPr="005F1809" w:rsidRDefault="007D4395" w:rsidP="00FA4044">
      <w:pPr>
        <w:pStyle w:val="NormalWeb"/>
        <w:jc w:val="both"/>
        <w:rPr>
          <w:rFonts w:ascii="Arial" w:hAnsi="Arial" w:cs="Arial"/>
        </w:rPr>
      </w:pPr>
      <w:r w:rsidRPr="005F1809">
        <w:rPr>
          <w:rFonts w:ascii="Arial" w:hAnsi="Arial" w:cs="Arial"/>
        </w:rPr>
        <w:t>La adopción de un reglamento interno para la Comisión resulta fundamental para garantizar la operatividad, transparencia y eficiencia de</w:t>
      </w:r>
      <w:r w:rsidR="008E3F20" w:rsidRPr="005F1809">
        <w:rPr>
          <w:rFonts w:ascii="Arial" w:hAnsi="Arial" w:cs="Arial"/>
        </w:rPr>
        <w:t xml:space="preserve"> esta instancia intersectorial, por lo que, </w:t>
      </w:r>
      <w:r w:rsidRPr="005F1809">
        <w:rPr>
          <w:rFonts w:ascii="Arial" w:hAnsi="Arial" w:cs="Arial"/>
        </w:rPr>
        <w:t xml:space="preserve">es necesario establecer </w:t>
      </w:r>
      <w:r w:rsidR="008E3F20" w:rsidRPr="005F1809">
        <w:rPr>
          <w:rFonts w:ascii="Arial" w:hAnsi="Arial" w:cs="Arial"/>
        </w:rPr>
        <w:t xml:space="preserve">el reglamento para </w:t>
      </w:r>
      <w:r w:rsidRPr="005F1809">
        <w:rPr>
          <w:rFonts w:ascii="Arial" w:hAnsi="Arial" w:cs="Arial"/>
        </w:rPr>
        <w:t>que regulen la convocatoria, el desarrollo de las sesiones, los mecanismos de deliberación y toma de decisiones, así como la participación de los diferentes actores en función de sus competencias y roles.</w:t>
      </w:r>
    </w:p>
    <w:p w14:paraId="142FE882" w14:textId="77777777" w:rsidR="007D4395" w:rsidRPr="005F1809" w:rsidRDefault="007D4395" w:rsidP="00FA4044">
      <w:pPr>
        <w:pStyle w:val="NormalWeb"/>
        <w:jc w:val="both"/>
        <w:rPr>
          <w:rFonts w:ascii="Arial" w:hAnsi="Arial" w:cs="Arial"/>
        </w:rPr>
      </w:pPr>
      <w:r w:rsidRPr="005F1809">
        <w:rPr>
          <w:rFonts w:ascii="Arial" w:hAnsi="Arial" w:cs="Arial"/>
        </w:rPr>
        <w:t>Por lo anterior, se propone el siguiente artículo:</w:t>
      </w:r>
    </w:p>
    <w:p w14:paraId="1E831F61" w14:textId="1D1B232D" w:rsidR="00EA4F5E" w:rsidRPr="005F1809" w:rsidRDefault="007D4395" w:rsidP="00EA4F5E">
      <w:pPr>
        <w:ind w:left="720"/>
        <w:rPr>
          <w:rFonts w:cs="Arial"/>
          <w:i/>
          <w:sz w:val="24"/>
          <w:szCs w:val="24"/>
        </w:rPr>
      </w:pPr>
      <w:r w:rsidRPr="005F1809">
        <w:rPr>
          <w:rFonts w:cs="Arial"/>
          <w:i/>
          <w:sz w:val="24"/>
          <w:szCs w:val="24"/>
        </w:rPr>
        <w:t>“</w:t>
      </w:r>
      <w:r w:rsidR="00EA4F5E" w:rsidRPr="005F1809">
        <w:rPr>
          <w:rFonts w:cs="Arial"/>
          <w:i/>
          <w:sz w:val="24"/>
          <w:szCs w:val="24"/>
        </w:rPr>
        <w:t xml:space="preserve">Artículo 13. Reglamento interno de la comisión. La Comisión Intersectorial para el Seguimiento e Implementación de la </w:t>
      </w:r>
      <w:r w:rsidR="00CB2D5E" w:rsidRPr="005F1809">
        <w:rPr>
          <w:rFonts w:cs="Arial"/>
          <w:i/>
          <w:sz w:val="24"/>
          <w:szCs w:val="24"/>
        </w:rPr>
        <w:t>política nacional de calidad a</w:t>
      </w:r>
      <w:r w:rsidR="00EA4F5E" w:rsidRPr="005F1809">
        <w:rPr>
          <w:rFonts w:cs="Arial"/>
          <w:i/>
          <w:sz w:val="24"/>
          <w:szCs w:val="24"/>
        </w:rPr>
        <w:t>cústica adoptará su reglamento interno en un plazo no mayor a tres (3) meses, contados a partir de su instalación. En dicho reglamento se establecerán el procedimiento para la convocatoria y desarrollo de sesiones, el mecanismo de toma   de decisiones, los criterios de participación de los miembros e invitados permanentes y transitorios, así como los lineamientos para el seguimiento y evaluación de sus acciones.</w:t>
      </w:r>
    </w:p>
    <w:p w14:paraId="6837BEEF" w14:textId="77777777" w:rsidR="00EA4F5E" w:rsidRPr="005F1809" w:rsidRDefault="00EA4F5E" w:rsidP="00EA4F5E">
      <w:pPr>
        <w:ind w:left="720"/>
        <w:rPr>
          <w:rFonts w:cs="Arial"/>
          <w:i/>
          <w:sz w:val="24"/>
          <w:szCs w:val="24"/>
        </w:rPr>
      </w:pPr>
    </w:p>
    <w:p w14:paraId="34F07DA5" w14:textId="37BD8CDA" w:rsidR="00EA4F5E" w:rsidRPr="005F1809" w:rsidRDefault="00EA4F5E" w:rsidP="00EA4F5E">
      <w:pPr>
        <w:ind w:left="720"/>
        <w:rPr>
          <w:rFonts w:cs="Arial"/>
          <w:i/>
          <w:sz w:val="24"/>
          <w:szCs w:val="24"/>
        </w:rPr>
      </w:pPr>
      <w:r w:rsidRPr="005F1809">
        <w:rPr>
          <w:rFonts w:cs="Arial"/>
          <w:i/>
          <w:sz w:val="24"/>
          <w:szCs w:val="24"/>
        </w:rPr>
        <w:t>Parágrafo. El reglamento interno será elaborado por la Comisión con el apoyo de la Secretaría Técnica y deberá ser aprobado por los miembros permanentes de la Comisión, conforme al quorum establecido.”</w:t>
      </w:r>
    </w:p>
    <w:p w14:paraId="7DD15BDC" w14:textId="77777777" w:rsidR="00DF7886" w:rsidRPr="005F1809" w:rsidRDefault="00DF7886" w:rsidP="00EA4F5E">
      <w:pPr>
        <w:ind w:left="720"/>
        <w:rPr>
          <w:rFonts w:cs="Arial"/>
          <w:i/>
          <w:sz w:val="24"/>
          <w:szCs w:val="24"/>
        </w:rPr>
      </w:pPr>
    </w:p>
    <w:p w14:paraId="4ADF66EA" w14:textId="3ED47BCD" w:rsidR="00EA4F5E" w:rsidRPr="005F1809" w:rsidRDefault="00EA4F5E" w:rsidP="00C367EF">
      <w:pPr>
        <w:pStyle w:val="Ttulo2"/>
        <w:rPr>
          <w:rFonts w:ascii="Arial" w:hAnsi="Arial" w:cs="Arial"/>
          <w:sz w:val="24"/>
          <w:szCs w:val="24"/>
        </w:rPr>
      </w:pPr>
      <w:r w:rsidRPr="005F1809">
        <w:rPr>
          <w:rFonts w:ascii="Arial" w:hAnsi="Arial" w:cs="Arial"/>
          <w:sz w:val="24"/>
          <w:szCs w:val="24"/>
        </w:rPr>
        <w:t>2.9 Financiación</w:t>
      </w:r>
    </w:p>
    <w:p w14:paraId="38CE1280" w14:textId="77777777" w:rsidR="00EA4F5E" w:rsidRPr="005F1809" w:rsidRDefault="00EA4F5E" w:rsidP="00EA4F5E">
      <w:pPr>
        <w:spacing w:before="100" w:beforeAutospacing="1" w:after="100" w:afterAutospacing="1"/>
        <w:rPr>
          <w:rFonts w:cs="Arial"/>
          <w:sz w:val="24"/>
          <w:szCs w:val="24"/>
        </w:rPr>
      </w:pPr>
      <w:r w:rsidRPr="005F1809">
        <w:rPr>
          <w:rFonts w:cs="Arial"/>
          <w:sz w:val="24"/>
          <w:szCs w:val="24"/>
        </w:rPr>
        <w:t>La inclusión de una disposición sobre financiación resulta necesaria para precisar que el funcionamiento de la Comisión se desarrollará con cargo a los recursos ordinarios de las entidades que la integran, conforme a sus competencias y disponibilidades presupuestales, sin generar erogaciones adicionales para la Nación ni la creación de nuevas estructuras administrativas.</w:t>
      </w:r>
    </w:p>
    <w:p w14:paraId="32C445F5" w14:textId="2763DB78" w:rsidR="00EA4F5E" w:rsidRPr="005F1809" w:rsidRDefault="00EA4F5E" w:rsidP="00C367EF">
      <w:pPr>
        <w:spacing w:before="100" w:beforeAutospacing="1" w:after="100" w:afterAutospacing="1"/>
        <w:rPr>
          <w:rFonts w:cs="Arial"/>
          <w:sz w:val="24"/>
          <w:szCs w:val="24"/>
        </w:rPr>
      </w:pPr>
      <w:r w:rsidRPr="005F1809">
        <w:rPr>
          <w:rFonts w:cs="Arial"/>
          <w:sz w:val="24"/>
          <w:szCs w:val="24"/>
        </w:rPr>
        <w:t>Asimismo, esta disposición garantiza coherencia con los principios de sostenibilidad fiscal y planeación presupuestal, en concordancia con el Marco Fiscal de Mediano Plazo y el Marco de Gasto de Mediano Plazo.</w:t>
      </w:r>
    </w:p>
    <w:p w14:paraId="0EFD01F0" w14:textId="77777777" w:rsidR="00EA4F5E" w:rsidRPr="005F1809" w:rsidRDefault="00EA4F5E" w:rsidP="00EA4F5E">
      <w:pPr>
        <w:pStyle w:val="NormalWeb"/>
        <w:jc w:val="both"/>
        <w:rPr>
          <w:rFonts w:ascii="Arial" w:hAnsi="Arial" w:cs="Arial"/>
        </w:rPr>
      </w:pPr>
      <w:r w:rsidRPr="005F1809">
        <w:rPr>
          <w:rFonts w:ascii="Arial" w:hAnsi="Arial" w:cs="Arial"/>
        </w:rPr>
        <w:t>Por lo anterior, se propone el siguiente artículo:</w:t>
      </w:r>
    </w:p>
    <w:p w14:paraId="03198EEF" w14:textId="22E42826" w:rsidR="00EA4F5E" w:rsidRPr="005F1809" w:rsidRDefault="00EA4F5E" w:rsidP="00C367EF">
      <w:pPr>
        <w:spacing w:before="100" w:beforeAutospacing="1" w:after="100" w:afterAutospacing="1"/>
        <w:ind w:left="720"/>
        <w:rPr>
          <w:rFonts w:cs="Arial"/>
          <w:i/>
          <w:sz w:val="24"/>
          <w:szCs w:val="24"/>
        </w:rPr>
      </w:pPr>
      <w:r w:rsidRPr="005F1809">
        <w:rPr>
          <w:rFonts w:cs="Arial"/>
          <w:i/>
          <w:sz w:val="24"/>
          <w:szCs w:val="24"/>
        </w:rPr>
        <w:t>“Artículo 14. Financiación, Las funciones asignadas a la Comisión, se desarrollarán con cargo a los recursos de las entidades miembros e invitados permanentes que la conforman, según el presupuesto asignado para cada vigencia fiscal, respetando el Marco Fiscal de Mediano Plazo y el Marco de Gasto de Mediano Plazo.”</w:t>
      </w:r>
    </w:p>
    <w:p w14:paraId="0DE9FA4D" w14:textId="2B8AF086" w:rsidR="00B2056C" w:rsidRPr="005F1809" w:rsidRDefault="00B2056C" w:rsidP="00B2056C">
      <w:pPr>
        <w:pStyle w:val="Ttulo2"/>
        <w:rPr>
          <w:rFonts w:ascii="Arial" w:hAnsi="Arial" w:cs="Arial"/>
          <w:sz w:val="24"/>
          <w:szCs w:val="24"/>
        </w:rPr>
      </w:pPr>
      <w:r w:rsidRPr="005F1809">
        <w:rPr>
          <w:rFonts w:ascii="Arial" w:hAnsi="Arial" w:cs="Arial"/>
          <w:sz w:val="24"/>
          <w:szCs w:val="24"/>
        </w:rPr>
        <w:t>2.</w:t>
      </w:r>
      <w:r w:rsidR="00EA4F5E" w:rsidRPr="005F1809">
        <w:rPr>
          <w:rFonts w:ascii="Arial" w:hAnsi="Arial" w:cs="Arial"/>
          <w:sz w:val="24"/>
          <w:szCs w:val="24"/>
        </w:rPr>
        <w:t>10</w:t>
      </w:r>
      <w:r w:rsidRPr="005F1809">
        <w:rPr>
          <w:rFonts w:ascii="Arial" w:hAnsi="Arial" w:cs="Arial"/>
          <w:sz w:val="24"/>
          <w:szCs w:val="24"/>
        </w:rPr>
        <w:t xml:space="preserve"> Vigencia</w:t>
      </w:r>
    </w:p>
    <w:p w14:paraId="64341810" w14:textId="77777777" w:rsidR="0067488D" w:rsidRPr="005F1809" w:rsidRDefault="007D4395" w:rsidP="00FA4044">
      <w:pPr>
        <w:pStyle w:val="NormalWeb"/>
        <w:jc w:val="both"/>
        <w:rPr>
          <w:rFonts w:ascii="Arial" w:hAnsi="Arial" w:cs="Arial"/>
        </w:rPr>
      </w:pPr>
      <w:r w:rsidRPr="005F1809">
        <w:rPr>
          <w:rFonts w:ascii="Arial" w:hAnsi="Arial" w:cs="Arial"/>
        </w:rPr>
        <w:t>Es necesario establecer la vigencia de la presente norma para precisar el momento a partir del cual sus disposiciones generan efec</w:t>
      </w:r>
      <w:r w:rsidR="008E3F20" w:rsidRPr="005F1809">
        <w:rPr>
          <w:rFonts w:ascii="Arial" w:hAnsi="Arial" w:cs="Arial"/>
        </w:rPr>
        <w:t>tos jurídicos y administrativos</w:t>
      </w:r>
      <w:r w:rsidRPr="005F1809">
        <w:rPr>
          <w:rFonts w:ascii="Arial" w:hAnsi="Arial" w:cs="Arial"/>
        </w:rPr>
        <w:t>.</w:t>
      </w:r>
    </w:p>
    <w:p w14:paraId="3D8C1194" w14:textId="77777777" w:rsidR="00297C14" w:rsidRPr="005F1809" w:rsidRDefault="00FA4044" w:rsidP="00FA4044">
      <w:pPr>
        <w:rPr>
          <w:rFonts w:cs="Arial"/>
          <w:sz w:val="24"/>
          <w:szCs w:val="24"/>
          <w:lang w:eastAsia="es-CO"/>
        </w:rPr>
      </w:pPr>
      <w:r w:rsidRPr="005F1809">
        <w:rPr>
          <w:rFonts w:cs="Arial"/>
          <w:sz w:val="24"/>
          <w:szCs w:val="24"/>
          <w:lang w:eastAsia="es-CO"/>
        </w:rPr>
        <w:t>Por lo anterior, se propone el siguiente articulado:</w:t>
      </w:r>
    </w:p>
    <w:p w14:paraId="418B2698" w14:textId="77777777" w:rsidR="00FA4044" w:rsidRPr="005F1809" w:rsidRDefault="00FA4044" w:rsidP="00FA4044">
      <w:pPr>
        <w:rPr>
          <w:rFonts w:cs="Arial"/>
          <w:i/>
          <w:sz w:val="24"/>
          <w:szCs w:val="24"/>
          <w:lang w:eastAsia="es-CO"/>
        </w:rPr>
      </w:pPr>
    </w:p>
    <w:p w14:paraId="1254682B" w14:textId="0D99D790" w:rsidR="00FA4044" w:rsidRPr="005F1809" w:rsidRDefault="00B2056C" w:rsidP="00B2056C">
      <w:pPr>
        <w:ind w:left="720"/>
        <w:rPr>
          <w:rFonts w:cs="Arial"/>
          <w:i/>
          <w:sz w:val="24"/>
          <w:szCs w:val="24"/>
        </w:rPr>
      </w:pPr>
      <w:r w:rsidRPr="005F1809">
        <w:rPr>
          <w:rFonts w:cs="Arial"/>
          <w:i/>
          <w:sz w:val="24"/>
          <w:szCs w:val="24"/>
        </w:rPr>
        <w:t>“</w:t>
      </w:r>
      <w:r w:rsidR="00FA4044" w:rsidRPr="005F1809">
        <w:rPr>
          <w:rFonts w:cs="Arial"/>
          <w:i/>
          <w:sz w:val="24"/>
          <w:szCs w:val="24"/>
        </w:rPr>
        <w:t>Artículo 1</w:t>
      </w:r>
      <w:r w:rsidR="00DF7886" w:rsidRPr="005F1809">
        <w:rPr>
          <w:rFonts w:cs="Arial"/>
          <w:i/>
          <w:sz w:val="24"/>
          <w:szCs w:val="24"/>
        </w:rPr>
        <w:t>5</w:t>
      </w:r>
      <w:r w:rsidR="00FA4044" w:rsidRPr="005F1809">
        <w:rPr>
          <w:rFonts w:cs="Arial"/>
          <w:i/>
          <w:sz w:val="24"/>
          <w:szCs w:val="24"/>
        </w:rPr>
        <w:t>. Vigencia. La presente norma rige a partir de la fecha de su publicación en el Diario Oficial.</w:t>
      </w:r>
      <w:r w:rsidRPr="005F1809">
        <w:rPr>
          <w:rFonts w:cs="Arial"/>
          <w:i/>
          <w:sz w:val="24"/>
          <w:szCs w:val="24"/>
        </w:rPr>
        <w:t>”</w:t>
      </w:r>
    </w:p>
    <w:p w14:paraId="4B2CF005" w14:textId="77777777" w:rsidR="00FA4044" w:rsidRPr="00C367EF" w:rsidRDefault="00FA4044" w:rsidP="00FA4044">
      <w:pPr>
        <w:rPr>
          <w:rFonts w:cs="Arial"/>
          <w:sz w:val="24"/>
          <w:szCs w:val="24"/>
          <w:lang w:eastAsia="es-CO"/>
        </w:rPr>
      </w:pPr>
    </w:p>
    <w:p w14:paraId="1600C4B7" w14:textId="77777777" w:rsidR="005202C6" w:rsidRPr="00C367EF" w:rsidRDefault="005202C6" w:rsidP="00297C14">
      <w:pPr>
        <w:rPr>
          <w:rFonts w:cs="Arial"/>
          <w:sz w:val="24"/>
          <w:szCs w:val="24"/>
          <w:lang w:eastAsia="es-CO"/>
        </w:rPr>
      </w:pPr>
    </w:p>
    <w:p w14:paraId="36874C3D" w14:textId="77777777" w:rsidR="00BA0C5D" w:rsidRPr="00C367EF" w:rsidRDefault="00BA0C5D">
      <w:pPr>
        <w:rPr>
          <w:rFonts w:cs="Arial"/>
          <w:sz w:val="24"/>
          <w:szCs w:val="24"/>
        </w:rPr>
      </w:pPr>
    </w:p>
    <w:sectPr w:rsidR="00BA0C5D" w:rsidRPr="00C367EF">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AF569" w14:textId="77777777" w:rsidR="00392951" w:rsidRDefault="00392951" w:rsidP="00D92CC1">
      <w:r>
        <w:separator/>
      </w:r>
    </w:p>
  </w:endnote>
  <w:endnote w:type="continuationSeparator" w:id="0">
    <w:p w14:paraId="0CE4AA9D" w14:textId="77777777" w:rsidR="00392951" w:rsidRDefault="00392951" w:rsidP="00D9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0AD01" w14:textId="77777777" w:rsidR="00392951" w:rsidRDefault="00392951" w:rsidP="00D92CC1">
      <w:r>
        <w:separator/>
      </w:r>
    </w:p>
  </w:footnote>
  <w:footnote w:type="continuationSeparator" w:id="0">
    <w:p w14:paraId="4C91DE5E" w14:textId="77777777" w:rsidR="00392951" w:rsidRDefault="00392951" w:rsidP="00D92C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1595B" w14:textId="77777777" w:rsidR="00C90C80" w:rsidRDefault="00C90C80">
    <w:pPr>
      <w:pStyle w:val="Encabezado"/>
    </w:pPr>
    <w:r>
      <w:rPr>
        <w:noProof/>
        <w:lang w:eastAsia="es-CO"/>
      </w:rPr>
      <w:drawing>
        <wp:anchor distT="0" distB="0" distL="114300" distR="114300" simplePos="0" relativeHeight="251658240" behindDoc="0" locked="0" layoutInCell="1" allowOverlap="1" wp14:anchorId="4EA15028" wp14:editId="1D8CF676">
          <wp:simplePos x="0" y="0"/>
          <wp:positionH relativeFrom="margin">
            <wp:align>right</wp:align>
          </wp:positionH>
          <wp:positionV relativeFrom="paragraph">
            <wp:posOffset>-230505</wp:posOffset>
          </wp:positionV>
          <wp:extent cx="1138555" cy="657860"/>
          <wp:effectExtent l="0" t="0" r="0" b="8890"/>
          <wp:wrapThrough wrapText="bothSides">
            <wp:wrapPolygon edited="0">
              <wp:start x="9397" y="0"/>
              <wp:lineTo x="7590" y="1876"/>
              <wp:lineTo x="7590" y="8757"/>
              <wp:lineTo x="1807" y="12510"/>
              <wp:lineTo x="1446" y="17514"/>
              <wp:lineTo x="7228" y="20015"/>
              <wp:lineTo x="7228" y="21266"/>
              <wp:lineTo x="14095" y="21266"/>
              <wp:lineTo x="14095" y="20015"/>
              <wp:lineTo x="19877" y="17514"/>
              <wp:lineTo x="19516" y="13135"/>
              <wp:lineTo x="13733" y="8757"/>
              <wp:lineTo x="13733" y="2502"/>
              <wp:lineTo x="11926" y="0"/>
              <wp:lineTo x="9397" y="0"/>
            </wp:wrapPolygon>
          </wp:wrapThrough>
          <wp:docPr id="2" name="Imagen 2" descr="Logo MinAmbi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 MinAmbi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8555" cy="657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60C3F"/>
    <w:multiLevelType w:val="hybridMultilevel"/>
    <w:tmpl w:val="6562C7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C2A2DFE"/>
    <w:multiLevelType w:val="hybridMultilevel"/>
    <w:tmpl w:val="DE8A0FD0"/>
    <w:lvl w:ilvl="0" w:tplc="2F982AA8">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2361749B"/>
    <w:multiLevelType w:val="multilevel"/>
    <w:tmpl w:val="6D1E83E2"/>
    <w:lvl w:ilvl="0">
      <w:start w:val="1"/>
      <w:numFmt w:val="decimal"/>
      <w:lvlText w:val="%1."/>
      <w:lvlJc w:val="left"/>
      <w:pPr>
        <w:tabs>
          <w:tab w:val="num" w:pos="644"/>
        </w:tabs>
        <w:ind w:left="644" w:hanging="360"/>
      </w:pPr>
      <w:rPr>
        <w:b w:val="0"/>
        <w:bCs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412705"/>
    <w:multiLevelType w:val="hybridMultilevel"/>
    <w:tmpl w:val="6952E9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B1392C"/>
    <w:multiLevelType w:val="multilevel"/>
    <w:tmpl w:val="30EA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4467DD"/>
    <w:multiLevelType w:val="multilevel"/>
    <w:tmpl w:val="057A7D96"/>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2B6B5C"/>
    <w:multiLevelType w:val="hybridMultilevel"/>
    <w:tmpl w:val="C8227CC2"/>
    <w:lvl w:ilvl="0" w:tplc="240A000F">
      <w:start w:val="1"/>
      <w:numFmt w:val="decimal"/>
      <w:lvlText w:val="%1."/>
      <w:lvlJc w:val="left"/>
      <w:pPr>
        <w:ind w:left="1352" w:hanging="360"/>
      </w:pPr>
      <w:rPr>
        <w:rFonts w:hint="default"/>
      </w:rPr>
    </w:lvl>
    <w:lvl w:ilvl="1" w:tplc="240A0019" w:tentative="1">
      <w:start w:val="1"/>
      <w:numFmt w:val="lowerLetter"/>
      <w:lvlText w:val="%2."/>
      <w:lvlJc w:val="left"/>
      <w:pPr>
        <w:ind w:left="2072" w:hanging="360"/>
      </w:pPr>
    </w:lvl>
    <w:lvl w:ilvl="2" w:tplc="240A001B" w:tentative="1">
      <w:start w:val="1"/>
      <w:numFmt w:val="lowerRoman"/>
      <w:lvlText w:val="%3."/>
      <w:lvlJc w:val="right"/>
      <w:pPr>
        <w:ind w:left="2792" w:hanging="180"/>
      </w:pPr>
    </w:lvl>
    <w:lvl w:ilvl="3" w:tplc="240A000F" w:tentative="1">
      <w:start w:val="1"/>
      <w:numFmt w:val="decimal"/>
      <w:lvlText w:val="%4."/>
      <w:lvlJc w:val="left"/>
      <w:pPr>
        <w:ind w:left="3512" w:hanging="360"/>
      </w:pPr>
    </w:lvl>
    <w:lvl w:ilvl="4" w:tplc="240A0019" w:tentative="1">
      <w:start w:val="1"/>
      <w:numFmt w:val="lowerLetter"/>
      <w:lvlText w:val="%5."/>
      <w:lvlJc w:val="left"/>
      <w:pPr>
        <w:ind w:left="4232" w:hanging="360"/>
      </w:pPr>
    </w:lvl>
    <w:lvl w:ilvl="5" w:tplc="240A001B" w:tentative="1">
      <w:start w:val="1"/>
      <w:numFmt w:val="lowerRoman"/>
      <w:lvlText w:val="%6."/>
      <w:lvlJc w:val="right"/>
      <w:pPr>
        <w:ind w:left="4952" w:hanging="180"/>
      </w:pPr>
    </w:lvl>
    <w:lvl w:ilvl="6" w:tplc="240A000F" w:tentative="1">
      <w:start w:val="1"/>
      <w:numFmt w:val="decimal"/>
      <w:lvlText w:val="%7."/>
      <w:lvlJc w:val="left"/>
      <w:pPr>
        <w:ind w:left="5672" w:hanging="360"/>
      </w:pPr>
    </w:lvl>
    <w:lvl w:ilvl="7" w:tplc="240A0019" w:tentative="1">
      <w:start w:val="1"/>
      <w:numFmt w:val="lowerLetter"/>
      <w:lvlText w:val="%8."/>
      <w:lvlJc w:val="left"/>
      <w:pPr>
        <w:ind w:left="6392" w:hanging="360"/>
      </w:pPr>
    </w:lvl>
    <w:lvl w:ilvl="8" w:tplc="240A001B" w:tentative="1">
      <w:start w:val="1"/>
      <w:numFmt w:val="lowerRoman"/>
      <w:lvlText w:val="%9."/>
      <w:lvlJc w:val="right"/>
      <w:pPr>
        <w:ind w:left="7112" w:hanging="180"/>
      </w:pPr>
    </w:lvl>
  </w:abstractNum>
  <w:abstractNum w:abstractNumId="7" w15:restartNumberingAfterBreak="0">
    <w:nsid w:val="4B09640E"/>
    <w:multiLevelType w:val="hybridMultilevel"/>
    <w:tmpl w:val="39B0A6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05509AB"/>
    <w:multiLevelType w:val="multilevel"/>
    <w:tmpl w:val="42984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4BC6DF9"/>
    <w:multiLevelType w:val="hybridMultilevel"/>
    <w:tmpl w:val="4328A9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10B3E97"/>
    <w:multiLevelType w:val="multilevel"/>
    <w:tmpl w:val="D8E46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514D98"/>
    <w:multiLevelType w:val="multilevel"/>
    <w:tmpl w:val="429849DC"/>
    <w:lvl w:ilvl="0">
      <w:start w:val="1"/>
      <w:numFmt w:val="decimal"/>
      <w:lvlText w:val="%1."/>
      <w:lvlJc w:val="left"/>
      <w:pPr>
        <w:tabs>
          <w:tab w:val="num" w:pos="1440"/>
        </w:tabs>
        <w:ind w:left="1440" w:hanging="360"/>
      </w:pPr>
    </w:lvl>
    <w:lvl w:ilvl="1" w:tentative="1">
      <w:start w:val="1"/>
      <w:numFmt w:val="decimal"/>
      <w:lvlText w:val="%2."/>
      <w:lvlJc w:val="left"/>
      <w:pPr>
        <w:tabs>
          <w:tab w:val="num" w:pos="2672"/>
        </w:tabs>
        <w:ind w:left="2672" w:hanging="360"/>
      </w:pPr>
    </w:lvl>
    <w:lvl w:ilvl="2" w:tentative="1">
      <w:start w:val="1"/>
      <w:numFmt w:val="decimal"/>
      <w:lvlText w:val="%3."/>
      <w:lvlJc w:val="left"/>
      <w:pPr>
        <w:tabs>
          <w:tab w:val="num" w:pos="3392"/>
        </w:tabs>
        <w:ind w:left="3392" w:hanging="360"/>
      </w:pPr>
    </w:lvl>
    <w:lvl w:ilvl="3" w:tentative="1">
      <w:start w:val="1"/>
      <w:numFmt w:val="decimal"/>
      <w:lvlText w:val="%4."/>
      <w:lvlJc w:val="left"/>
      <w:pPr>
        <w:tabs>
          <w:tab w:val="num" w:pos="4112"/>
        </w:tabs>
        <w:ind w:left="4112" w:hanging="360"/>
      </w:pPr>
    </w:lvl>
    <w:lvl w:ilvl="4" w:tentative="1">
      <w:start w:val="1"/>
      <w:numFmt w:val="decimal"/>
      <w:lvlText w:val="%5."/>
      <w:lvlJc w:val="left"/>
      <w:pPr>
        <w:tabs>
          <w:tab w:val="num" w:pos="4832"/>
        </w:tabs>
        <w:ind w:left="4832" w:hanging="360"/>
      </w:pPr>
    </w:lvl>
    <w:lvl w:ilvl="5" w:tentative="1">
      <w:start w:val="1"/>
      <w:numFmt w:val="decimal"/>
      <w:lvlText w:val="%6."/>
      <w:lvlJc w:val="left"/>
      <w:pPr>
        <w:tabs>
          <w:tab w:val="num" w:pos="5552"/>
        </w:tabs>
        <w:ind w:left="5552" w:hanging="360"/>
      </w:pPr>
    </w:lvl>
    <w:lvl w:ilvl="6" w:tentative="1">
      <w:start w:val="1"/>
      <w:numFmt w:val="decimal"/>
      <w:lvlText w:val="%7."/>
      <w:lvlJc w:val="left"/>
      <w:pPr>
        <w:tabs>
          <w:tab w:val="num" w:pos="6272"/>
        </w:tabs>
        <w:ind w:left="6272" w:hanging="360"/>
      </w:pPr>
    </w:lvl>
    <w:lvl w:ilvl="7" w:tentative="1">
      <w:start w:val="1"/>
      <w:numFmt w:val="decimal"/>
      <w:lvlText w:val="%8."/>
      <w:lvlJc w:val="left"/>
      <w:pPr>
        <w:tabs>
          <w:tab w:val="num" w:pos="6992"/>
        </w:tabs>
        <w:ind w:left="6992" w:hanging="360"/>
      </w:pPr>
    </w:lvl>
    <w:lvl w:ilvl="8" w:tentative="1">
      <w:start w:val="1"/>
      <w:numFmt w:val="decimal"/>
      <w:lvlText w:val="%9."/>
      <w:lvlJc w:val="left"/>
      <w:pPr>
        <w:tabs>
          <w:tab w:val="num" w:pos="7712"/>
        </w:tabs>
        <w:ind w:left="7712" w:hanging="360"/>
      </w:pPr>
    </w:lvl>
  </w:abstractNum>
  <w:num w:numId="1">
    <w:abstractNumId w:val="4"/>
  </w:num>
  <w:num w:numId="2">
    <w:abstractNumId w:val="8"/>
  </w:num>
  <w:num w:numId="3">
    <w:abstractNumId w:val="3"/>
  </w:num>
  <w:num w:numId="4">
    <w:abstractNumId w:val="2"/>
  </w:num>
  <w:num w:numId="5">
    <w:abstractNumId w:val="7"/>
  </w:num>
  <w:num w:numId="6">
    <w:abstractNumId w:val="10"/>
  </w:num>
  <w:num w:numId="7">
    <w:abstractNumId w:val="9"/>
  </w:num>
  <w:num w:numId="8">
    <w:abstractNumId w:val="5"/>
  </w:num>
  <w:num w:numId="9">
    <w:abstractNumId w:val="0"/>
  </w:num>
  <w:num w:numId="10">
    <w:abstractNumId w:val="11"/>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0FE"/>
    <w:rsid w:val="00013FC9"/>
    <w:rsid w:val="00085C1B"/>
    <w:rsid w:val="000B42E1"/>
    <w:rsid w:val="001C6C10"/>
    <w:rsid w:val="001E226C"/>
    <w:rsid w:val="002553BE"/>
    <w:rsid w:val="002720FF"/>
    <w:rsid w:val="00297C14"/>
    <w:rsid w:val="00347DEF"/>
    <w:rsid w:val="00355FA1"/>
    <w:rsid w:val="003863DF"/>
    <w:rsid w:val="0038649C"/>
    <w:rsid w:val="00390C8F"/>
    <w:rsid w:val="00392951"/>
    <w:rsid w:val="0039784F"/>
    <w:rsid w:val="003E7EE8"/>
    <w:rsid w:val="00401078"/>
    <w:rsid w:val="00417AA6"/>
    <w:rsid w:val="0048367D"/>
    <w:rsid w:val="00504925"/>
    <w:rsid w:val="005202C6"/>
    <w:rsid w:val="00530CDA"/>
    <w:rsid w:val="00542D9B"/>
    <w:rsid w:val="0057658D"/>
    <w:rsid w:val="005D60FE"/>
    <w:rsid w:val="005E32DA"/>
    <w:rsid w:val="005F1809"/>
    <w:rsid w:val="00603501"/>
    <w:rsid w:val="0067488D"/>
    <w:rsid w:val="006D7745"/>
    <w:rsid w:val="006F269B"/>
    <w:rsid w:val="00703852"/>
    <w:rsid w:val="0074205F"/>
    <w:rsid w:val="00784E5F"/>
    <w:rsid w:val="007A0D33"/>
    <w:rsid w:val="007D4395"/>
    <w:rsid w:val="008B332D"/>
    <w:rsid w:val="008E0AFA"/>
    <w:rsid w:val="008E3F20"/>
    <w:rsid w:val="00955EB3"/>
    <w:rsid w:val="00A2026A"/>
    <w:rsid w:val="00A31DB7"/>
    <w:rsid w:val="00B10F9A"/>
    <w:rsid w:val="00B14E0D"/>
    <w:rsid w:val="00B2056C"/>
    <w:rsid w:val="00B45A94"/>
    <w:rsid w:val="00B517DF"/>
    <w:rsid w:val="00B90DDA"/>
    <w:rsid w:val="00BA0C5D"/>
    <w:rsid w:val="00BA7836"/>
    <w:rsid w:val="00C144CF"/>
    <w:rsid w:val="00C367EF"/>
    <w:rsid w:val="00C55DA5"/>
    <w:rsid w:val="00C7158C"/>
    <w:rsid w:val="00C90C80"/>
    <w:rsid w:val="00CB2D5E"/>
    <w:rsid w:val="00D86F98"/>
    <w:rsid w:val="00D92CC1"/>
    <w:rsid w:val="00DF7886"/>
    <w:rsid w:val="00E43701"/>
    <w:rsid w:val="00EA0E97"/>
    <w:rsid w:val="00EA4F5E"/>
    <w:rsid w:val="00ED0682"/>
    <w:rsid w:val="00EE4C1D"/>
    <w:rsid w:val="00F31CD4"/>
    <w:rsid w:val="00F9125C"/>
    <w:rsid w:val="00F93498"/>
    <w:rsid w:val="00F945DA"/>
    <w:rsid w:val="00FA19B1"/>
    <w:rsid w:val="00FA4044"/>
    <w:rsid w:val="00FC0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BE5E9"/>
  <w15:chartTrackingRefBased/>
  <w15:docId w15:val="{D1F9645E-F533-4246-B8FE-AAC21229D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A5"/>
    <w:pPr>
      <w:spacing w:after="0" w:line="240" w:lineRule="auto"/>
      <w:jc w:val="both"/>
    </w:pPr>
    <w:rPr>
      <w:rFonts w:ascii="Arial" w:eastAsia="Times New Roman" w:hAnsi="Arial" w:cs="Times New Roman"/>
      <w:szCs w:val="20"/>
      <w:lang w:val="es-CO" w:eastAsia="es-ES"/>
    </w:rPr>
  </w:style>
  <w:style w:type="paragraph" w:styleId="Ttulo1">
    <w:name w:val="heading 1"/>
    <w:basedOn w:val="Normal"/>
    <w:next w:val="Normal"/>
    <w:link w:val="Ttulo1Car"/>
    <w:uiPriority w:val="9"/>
    <w:qFormat/>
    <w:rsid w:val="00BA783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BA783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BA0C5D"/>
    <w:pPr>
      <w:spacing w:before="100" w:beforeAutospacing="1" w:after="100" w:afterAutospacing="1"/>
      <w:jc w:val="left"/>
      <w:outlineLvl w:val="2"/>
    </w:pPr>
    <w:rPr>
      <w:rFonts w:ascii="Times New Roman" w:hAnsi="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A0C5D"/>
    <w:pPr>
      <w:spacing w:before="100" w:beforeAutospacing="1" w:after="100" w:afterAutospacing="1"/>
      <w:jc w:val="left"/>
    </w:pPr>
    <w:rPr>
      <w:rFonts w:ascii="Times New Roman" w:hAnsi="Times New Roman"/>
      <w:sz w:val="24"/>
      <w:szCs w:val="24"/>
      <w:lang w:eastAsia="es-CO"/>
    </w:rPr>
  </w:style>
  <w:style w:type="character" w:customStyle="1" w:styleId="Ttulo3Car">
    <w:name w:val="Título 3 Car"/>
    <w:basedOn w:val="Fuentedeprrafopredeter"/>
    <w:link w:val="Ttulo3"/>
    <w:uiPriority w:val="9"/>
    <w:rsid w:val="00BA0C5D"/>
    <w:rPr>
      <w:rFonts w:ascii="Times New Roman" w:eastAsia="Times New Roman" w:hAnsi="Times New Roman" w:cs="Times New Roman"/>
      <w:b/>
      <w:bCs/>
      <w:sz w:val="27"/>
      <w:szCs w:val="27"/>
      <w:lang w:val="es-CO" w:eastAsia="es-CO"/>
    </w:rPr>
  </w:style>
  <w:style w:type="character" w:styleId="Textoennegrita">
    <w:name w:val="Strong"/>
    <w:basedOn w:val="Fuentedeprrafopredeter"/>
    <w:uiPriority w:val="22"/>
    <w:qFormat/>
    <w:rsid w:val="00BA0C5D"/>
    <w:rPr>
      <w:b/>
      <w:bCs/>
    </w:rPr>
  </w:style>
  <w:style w:type="character" w:styleId="Refdenotaalpie">
    <w:name w:val="footnote reference"/>
    <w:aliases w:val="Nota de pie,Ref,de nota al pie,Texto nota al pie,referencia nota al pie,Ref. de nota al pieREF1,Ref. de nota al pie2,Footnote symbol,Footnote,FC,Texto de nota al pie,BVI fnr,Pie de pagina,Appel note de bas de p"/>
    <w:basedOn w:val="Fuentedeprrafopredeter"/>
    <w:uiPriority w:val="99"/>
    <w:rsid w:val="00D92CC1"/>
    <w:rPr>
      <w:sz w:val="20"/>
      <w:vertAlign w:val="superscript"/>
    </w:rPr>
  </w:style>
  <w:style w:type="paragraph" w:styleId="Textonotapie">
    <w:name w:val="footnote text"/>
    <w:aliases w:val=" Car1,Texto nota pie Car Car Car Car Car Car Car Car,Texto nota pie Car Car Car Car Car,Texto nota pie Car Car Car Car,ft Car,Texto nota pie Car Car Car Car Car Car Car Car Car,Texto nota pie Car Car Car Car Car Car Car,fn,footnote text"/>
    <w:basedOn w:val="Normal"/>
    <w:link w:val="TextonotapieCar"/>
    <w:uiPriority w:val="99"/>
    <w:qFormat/>
    <w:rsid w:val="00D92CC1"/>
    <w:pPr>
      <w:jc w:val="left"/>
    </w:pPr>
    <w:rPr>
      <w:rFonts w:ascii="Times New Roman" w:hAnsi="Times New Roman"/>
      <w:sz w:val="20"/>
      <w:lang w:val="es-CL"/>
    </w:rPr>
  </w:style>
  <w:style w:type="character" w:customStyle="1" w:styleId="TextonotapieCar">
    <w:name w:val="Texto nota pie Car"/>
    <w:aliases w:val=" Car1 Car,Texto nota pie Car Car Car Car Car Car Car Car Car1,Texto nota pie Car Car Car Car Car Car,Texto nota pie Car Car Car Car Car1,ft Car Car,Texto nota pie Car Car Car Car Car Car Car Car Car Car,fn Car,footnote text Car"/>
    <w:basedOn w:val="Fuentedeprrafopredeter"/>
    <w:link w:val="Textonotapie"/>
    <w:uiPriority w:val="99"/>
    <w:rsid w:val="00D92CC1"/>
    <w:rPr>
      <w:rFonts w:ascii="Times New Roman" w:eastAsia="Times New Roman" w:hAnsi="Times New Roman" w:cs="Times New Roman"/>
      <w:sz w:val="20"/>
      <w:szCs w:val="20"/>
      <w:lang w:val="es-CL" w:eastAsia="es-ES"/>
    </w:rPr>
  </w:style>
  <w:style w:type="character" w:styleId="nfasis">
    <w:name w:val="Emphasis"/>
    <w:basedOn w:val="Fuentedeprrafopredeter"/>
    <w:uiPriority w:val="20"/>
    <w:qFormat/>
    <w:rsid w:val="003863DF"/>
    <w:rPr>
      <w:i/>
      <w:iCs/>
    </w:rPr>
  </w:style>
  <w:style w:type="paragraph" w:styleId="Prrafodelista">
    <w:name w:val="List Paragraph"/>
    <w:basedOn w:val="Normal"/>
    <w:uiPriority w:val="34"/>
    <w:qFormat/>
    <w:rsid w:val="0038649C"/>
    <w:pPr>
      <w:ind w:left="720"/>
      <w:contextualSpacing/>
    </w:pPr>
  </w:style>
  <w:style w:type="paragraph" w:styleId="Encabezado">
    <w:name w:val="header"/>
    <w:basedOn w:val="Normal"/>
    <w:link w:val="EncabezadoCar"/>
    <w:uiPriority w:val="99"/>
    <w:unhideWhenUsed/>
    <w:rsid w:val="00390C8F"/>
    <w:pPr>
      <w:tabs>
        <w:tab w:val="center" w:pos="4419"/>
        <w:tab w:val="right" w:pos="8838"/>
      </w:tabs>
    </w:pPr>
  </w:style>
  <w:style w:type="character" w:customStyle="1" w:styleId="EncabezadoCar">
    <w:name w:val="Encabezado Car"/>
    <w:basedOn w:val="Fuentedeprrafopredeter"/>
    <w:link w:val="Encabezado"/>
    <w:uiPriority w:val="99"/>
    <w:rsid w:val="00390C8F"/>
    <w:rPr>
      <w:rFonts w:ascii="Arial" w:eastAsia="Times New Roman" w:hAnsi="Arial" w:cs="Times New Roman"/>
      <w:szCs w:val="20"/>
      <w:lang w:val="es-CO" w:eastAsia="es-ES"/>
    </w:rPr>
  </w:style>
  <w:style w:type="paragraph" w:styleId="Piedepgina">
    <w:name w:val="footer"/>
    <w:basedOn w:val="Normal"/>
    <w:link w:val="PiedepginaCar"/>
    <w:uiPriority w:val="99"/>
    <w:unhideWhenUsed/>
    <w:rsid w:val="00390C8F"/>
    <w:pPr>
      <w:tabs>
        <w:tab w:val="center" w:pos="4419"/>
        <w:tab w:val="right" w:pos="8838"/>
      </w:tabs>
    </w:pPr>
  </w:style>
  <w:style w:type="character" w:customStyle="1" w:styleId="PiedepginaCar">
    <w:name w:val="Pie de página Car"/>
    <w:basedOn w:val="Fuentedeprrafopredeter"/>
    <w:link w:val="Piedepgina"/>
    <w:uiPriority w:val="99"/>
    <w:rsid w:val="00390C8F"/>
    <w:rPr>
      <w:rFonts w:ascii="Arial" w:eastAsia="Times New Roman" w:hAnsi="Arial" w:cs="Times New Roman"/>
      <w:szCs w:val="20"/>
      <w:lang w:val="es-CO" w:eastAsia="es-ES"/>
    </w:rPr>
  </w:style>
  <w:style w:type="character" w:customStyle="1" w:styleId="Ttulo1Car">
    <w:name w:val="Título 1 Car"/>
    <w:basedOn w:val="Fuentedeprrafopredeter"/>
    <w:link w:val="Ttulo1"/>
    <w:uiPriority w:val="9"/>
    <w:rsid w:val="00BA7836"/>
    <w:rPr>
      <w:rFonts w:asciiTheme="majorHAnsi" w:eastAsiaTheme="majorEastAsia" w:hAnsiTheme="majorHAnsi" w:cstheme="majorBidi"/>
      <w:color w:val="2E74B5" w:themeColor="accent1" w:themeShade="BF"/>
      <w:sz w:val="32"/>
      <w:szCs w:val="32"/>
      <w:lang w:val="es-CO" w:eastAsia="es-ES"/>
    </w:rPr>
  </w:style>
  <w:style w:type="character" w:customStyle="1" w:styleId="Ttulo2Car">
    <w:name w:val="Título 2 Car"/>
    <w:basedOn w:val="Fuentedeprrafopredeter"/>
    <w:link w:val="Ttulo2"/>
    <w:uiPriority w:val="9"/>
    <w:rsid w:val="00BA7836"/>
    <w:rPr>
      <w:rFonts w:asciiTheme="majorHAnsi" w:eastAsiaTheme="majorEastAsia" w:hAnsiTheme="majorHAnsi" w:cstheme="majorBidi"/>
      <w:color w:val="2E74B5" w:themeColor="accent1" w:themeShade="BF"/>
      <w:sz w:val="26"/>
      <w:szCs w:val="26"/>
      <w:lang w:val="es-CO" w:eastAsia="es-ES"/>
    </w:rPr>
  </w:style>
  <w:style w:type="character" w:styleId="Refdecomentario">
    <w:name w:val="annotation reference"/>
    <w:basedOn w:val="Fuentedeprrafopredeter"/>
    <w:uiPriority w:val="99"/>
    <w:semiHidden/>
    <w:unhideWhenUsed/>
    <w:rsid w:val="00FC010C"/>
    <w:rPr>
      <w:sz w:val="16"/>
      <w:szCs w:val="16"/>
    </w:rPr>
  </w:style>
  <w:style w:type="paragraph" w:styleId="Textocomentario">
    <w:name w:val="annotation text"/>
    <w:basedOn w:val="Normal"/>
    <w:link w:val="TextocomentarioCar"/>
    <w:uiPriority w:val="99"/>
    <w:unhideWhenUsed/>
    <w:rsid w:val="00FC010C"/>
    <w:rPr>
      <w:sz w:val="20"/>
    </w:rPr>
  </w:style>
  <w:style w:type="character" w:customStyle="1" w:styleId="TextocomentarioCar">
    <w:name w:val="Texto comentario Car"/>
    <w:basedOn w:val="Fuentedeprrafopredeter"/>
    <w:link w:val="Textocomentario"/>
    <w:uiPriority w:val="99"/>
    <w:rsid w:val="00FC010C"/>
    <w:rPr>
      <w:rFonts w:ascii="Arial" w:eastAsia="Times New Roman" w:hAnsi="Arial"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FC010C"/>
    <w:rPr>
      <w:b/>
      <w:bCs/>
    </w:rPr>
  </w:style>
  <w:style w:type="character" w:customStyle="1" w:styleId="AsuntodelcomentarioCar">
    <w:name w:val="Asunto del comentario Car"/>
    <w:basedOn w:val="TextocomentarioCar"/>
    <w:link w:val="Asuntodelcomentario"/>
    <w:uiPriority w:val="99"/>
    <w:semiHidden/>
    <w:rsid w:val="00FC010C"/>
    <w:rPr>
      <w:rFonts w:ascii="Arial" w:eastAsia="Times New Roman" w:hAnsi="Arial" w:cs="Times New Roman"/>
      <w:b/>
      <w:bCs/>
      <w:sz w:val="20"/>
      <w:szCs w:val="20"/>
      <w:lang w:val="es-CO" w:eastAsia="es-ES"/>
    </w:rPr>
  </w:style>
  <w:style w:type="paragraph" w:styleId="Textodeglobo">
    <w:name w:val="Balloon Text"/>
    <w:basedOn w:val="Normal"/>
    <w:link w:val="TextodegloboCar"/>
    <w:uiPriority w:val="99"/>
    <w:semiHidden/>
    <w:unhideWhenUsed/>
    <w:rsid w:val="003E7EE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E7EE8"/>
    <w:rPr>
      <w:rFonts w:ascii="Segoe UI" w:eastAsia="Times New Roman" w:hAnsi="Segoe UI" w:cs="Segoe UI"/>
      <w:sz w:val="18"/>
      <w:szCs w:val="18"/>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765">
      <w:bodyDiv w:val="1"/>
      <w:marLeft w:val="0"/>
      <w:marRight w:val="0"/>
      <w:marTop w:val="0"/>
      <w:marBottom w:val="0"/>
      <w:divBdr>
        <w:top w:val="none" w:sz="0" w:space="0" w:color="auto"/>
        <w:left w:val="none" w:sz="0" w:space="0" w:color="auto"/>
        <w:bottom w:val="none" w:sz="0" w:space="0" w:color="auto"/>
        <w:right w:val="none" w:sz="0" w:space="0" w:color="auto"/>
      </w:divBdr>
    </w:div>
    <w:div w:id="102849471">
      <w:bodyDiv w:val="1"/>
      <w:marLeft w:val="0"/>
      <w:marRight w:val="0"/>
      <w:marTop w:val="0"/>
      <w:marBottom w:val="0"/>
      <w:divBdr>
        <w:top w:val="none" w:sz="0" w:space="0" w:color="auto"/>
        <w:left w:val="none" w:sz="0" w:space="0" w:color="auto"/>
        <w:bottom w:val="none" w:sz="0" w:space="0" w:color="auto"/>
        <w:right w:val="none" w:sz="0" w:space="0" w:color="auto"/>
      </w:divBdr>
    </w:div>
    <w:div w:id="116070317">
      <w:bodyDiv w:val="1"/>
      <w:marLeft w:val="0"/>
      <w:marRight w:val="0"/>
      <w:marTop w:val="0"/>
      <w:marBottom w:val="0"/>
      <w:divBdr>
        <w:top w:val="none" w:sz="0" w:space="0" w:color="auto"/>
        <w:left w:val="none" w:sz="0" w:space="0" w:color="auto"/>
        <w:bottom w:val="none" w:sz="0" w:space="0" w:color="auto"/>
        <w:right w:val="none" w:sz="0" w:space="0" w:color="auto"/>
      </w:divBdr>
      <w:divsChild>
        <w:div w:id="538400206">
          <w:marLeft w:val="0"/>
          <w:marRight w:val="0"/>
          <w:marTop w:val="0"/>
          <w:marBottom w:val="0"/>
          <w:divBdr>
            <w:top w:val="none" w:sz="0" w:space="0" w:color="auto"/>
            <w:left w:val="none" w:sz="0" w:space="0" w:color="auto"/>
            <w:bottom w:val="none" w:sz="0" w:space="0" w:color="auto"/>
            <w:right w:val="none" w:sz="0" w:space="0" w:color="auto"/>
          </w:divBdr>
        </w:div>
        <w:div w:id="1419793334">
          <w:marLeft w:val="0"/>
          <w:marRight w:val="0"/>
          <w:marTop w:val="0"/>
          <w:marBottom w:val="0"/>
          <w:divBdr>
            <w:top w:val="none" w:sz="0" w:space="0" w:color="auto"/>
            <w:left w:val="none" w:sz="0" w:space="0" w:color="auto"/>
            <w:bottom w:val="none" w:sz="0" w:space="0" w:color="auto"/>
            <w:right w:val="none" w:sz="0" w:space="0" w:color="auto"/>
          </w:divBdr>
        </w:div>
        <w:div w:id="2123455040">
          <w:marLeft w:val="0"/>
          <w:marRight w:val="0"/>
          <w:marTop w:val="0"/>
          <w:marBottom w:val="0"/>
          <w:divBdr>
            <w:top w:val="none" w:sz="0" w:space="0" w:color="auto"/>
            <w:left w:val="none" w:sz="0" w:space="0" w:color="auto"/>
            <w:bottom w:val="none" w:sz="0" w:space="0" w:color="auto"/>
            <w:right w:val="none" w:sz="0" w:space="0" w:color="auto"/>
          </w:divBdr>
        </w:div>
        <w:div w:id="1712537693">
          <w:marLeft w:val="0"/>
          <w:marRight w:val="0"/>
          <w:marTop w:val="0"/>
          <w:marBottom w:val="0"/>
          <w:divBdr>
            <w:top w:val="none" w:sz="0" w:space="0" w:color="auto"/>
            <w:left w:val="none" w:sz="0" w:space="0" w:color="auto"/>
            <w:bottom w:val="none" w:sz="0" w:space="0" w:color="auto"/>
            <w:right w:val="none" w:sz="0" w:space="0" w:color="auto"/>
          </w:divBdr>
        </w:div>
        <w:div w:id="1064450742">
          <w:marLeft w:val="0"/>
          <w:marRight w:val="0"/>
          <w:marTop w:val="0"/>
          <w:marBottom w:val="0"/>
          <w:divBdr>
            <w:top w:val="none" w:sz="0" w:space="0" w:color="auto"/>
            <w:left w:val="none" w:sz="0" w:space="0" w:color="auto"/>
            <w:bottom w:val="none" w:sz="0" w:space="0" w:color="auto"/>
            <w:right w:val="none" w:sz="0" w:space="0" w:color="auto"/>
          </w:divBdr>
        </w:div>
        <w:div w:id="1996178906">
          <w:marLeft w:val="0"/>
          <w:marRight w:val="0"/>
          <w:marTop w:val="0"/>
          <w:marBottom w:val="0"/>
          <w:divBdr>
            <w:top w:val="none" w:sz="0" w:space="0" w:color="auto"/>
            <w:left w:val="none" w:sz="0" w:space="0" w:color="auto"/>
            <w:bottom w:val="none" w:sz="0" w:space="0" w:color="auto"/>
            <w:right w:val="none" w:sz="0" w:space="0" w:color="auto"/>
          </w:divBdr>
        </w:div>
        <w:div w:id="1398749503">
          <w:marLeft w:val="0"/>
          <w:marRight w:val="0"/>
          <w:marTop w:val="0"/>
          <w:marBottom w:val="0"/>
          <w:divBdr>
            <w:top w:val="none" w:sz="0" w:space="0" w:color="auto"/>
            <w:left w:val="none" w:sz="0" w:space="0" w:color="auto"/>
            <w:bottom w:val="none" w:sz="0" w:space="0" w:color="auto"/>
            <w:right w:val="none" w:sz="0" w:space="0" w:color="auto"/>
          </w:divBdr>
        </w:div>
        <w:div w:id="870649339">
          <w:marLeft w:val="0"/>
          <w:marRight w:val="0"/>
          <w:marTop w:val="0"/>
          <w:marBottom w:val="0"/>
          <w:divBdr>
            <w:top w:val="none" w:sz="0" w:space="0" w:color="auto"/>
            <w:left w:val="none" w:sz="0" w:space="0" w:color="auto"/>
            <w:bottom w:val="none" w:sz="0" w:space="0" w:color="auto"/>
            <w:right w:val="none" w:sz="0" w:space="0" w:color="auto"/>
          </w:divBdr>
        </w:div>
        <w:div w:id="1744139606">
          <w:marLeft w:val="0"/>
          <w:marRight w:val="0"/>
          <w:marTop w:val="0"/>
          <w:marBottom w:val="0"/>
          <w:divBdr>
            <w:top w:val="none" w:sz="0" w:space="0" w:color="auto"/>
            <w:left w:val="none" w:sz="0" w:space="0" w:color="auto"/>
            <w:bottom w:val="none" w:sz="0" w:space="0" w:color="auto"/>
            <w:right w:val="none" w:sz="0" w:space="0" w:color="auto"/>
          </w:divBdr>
        </w:div>
        <w:div w:id="193810486">
          <w:marLeft w:val="0"/>
          <w:marRight w:val="0"/>
          <w:marTop w:val="0"/>
          <w:marBottom w:val="0"/>
          <w:divBdr>
            <w:top w:val="none" w:sz="0" w:space="0" w:color="auto"/>
            <w:left w:val="none" w:sz="0" w:space="0" w:color="auto"/>
            <w:bottom w:val="none" w:sz="0" w:space="0" w:color="auto"/>
            <w:right w:val="none" w:sz="0" w:space="0" w:color="auto"/>
          </w:divBdr>
        </w:div>
        <w:div w:id="1277983038">
          <w:marLeft w:val="0"/>
          <w:marRight w:val="0"/>
          <w:marTop w:val="0"/>
          <w:marBottom w:val="0"/>
          <w:divBdr>
            <w:top w:val="none" w:sz="0" w:space="0" w:color="auto"/>
            <w:left w:val="none" w:sz="0" w:space="0" w:color="auto"/>
            <w:bottom w:val="none" w:sz="0" w:space="0" w:color="auto"/>
            <w:right w:val="none" w:sz="0" w:space="0" w:color="auto"/>
          </w:divBdr>
        </w:div>
        <w:div w:id="1675523577">
          <w:marLeft w:val="0"/>
          <w:marRight w:val="0"/>
          <w:marTop w:val="0"/>
          <w:marBottom w:val="0"/>
          <w:divBdr>
            <w:top w:val="none" w:sz="0" w:space="0" w:color="auto"/>
            <w:left w:val="none" w:sz="0" w:space="0" w:color="auto"/>
            <w:bottom w:val="none" w:sz="0" w:space="0" w:color="auto"/>
            <w:right w:val="none" w:sz="0" w:space="0" w:color="auto"/>
          </w:divBdr>
        </w:div>
      </w:divsChild>
    </w:div>
    <w:div w:id="192352448">
      <w:bodyDiv w:val="1"/>
      <w:marLeft w:val="0"/>
      <w:marRight w:val="0"/>
      <w:marTop w:val="0"/>
      <w:marBottom w:val="0"/>
      <w:divBdr>
        <w:top w:val="none" w:sz="0" w:space="0" w:color="auto"/>
        <w:left w:val="none" w:sz="0" w:space="0" w:color="auto"/>
        <w:bottom w:val="none" w:sz="0" w:space="0" w:color="auto"/>
        <w:right w:val="none" w:sz="0" w:space="0" w:color="auto"/>
      </w:divBdr>
    </w:div>
    <w:div w:id="204148279">
      <w:bodyDiv w:val="1"/>
      <w:marLeft w:val="0"/>
      <w:marRight w:val="0"/>
      <w:marTop w:val="0"/>
      <w:marBottom w:val="0"/>
      <w:divBdr>
        <w:top w:val="none" w:sz="0" w:space="0" w:color="auto"/>
        <w:left w:val="none" w:sz="0" w:space="0" w:color="auto"/>
        <w:bottom w:val="none" w:sz="0" w:space="0" w:color="auto"/>
        <w:right w:val="none" w:sz="0" w:space="0" w:color="auto"/>
      </w:divBdr>
    </w:div>
    <w:div w:id="544101182">
      <w:bodyDiv w:val="1"/>
      <w:marLeft w:val="0"/>
      <w:marRight w:val="0"/>
      <w:marTop w:val="0"/>
      <w:marBottom w:val="0"/>
      <w:divBdr>
        <w:top w:val="none" w:sz="0" w:space="0" w:color="auto"/>
        <w:left w:val="none" w:sz="0" w:space="0" w:color="auto"/>
        <w:bottom w:val="none" w:sz="0" w:space="0" w:color="auto"/>
        <w:right w:val="none" w:sz="0" w:space="0" w:color="auto"/>
      </w:divBdr>
    </w:div>
    <w:div w:id="650714916">
      <w:bodyDiv w:val="1"/>
      <w:marLeft w:val="0"/>
      <w:marRight w:val="0"/>
      <w:marTop w:val="0"/>
      <w:marBottom w:val="0"/>
      <w:divBdr>
        <w:top w:val="none" w:sz="0" w:space="0" w:color="auto"/>
        <w:left w:val="none" w:sz="0" w:space="0" w:color="auto"/>
        <w:bottom w:val="none" w:sz="0" w:space="0" w:color="auto"/>
        <w:right w:val="none" w:sz="0" w:space="0" w:color="auto"/>
      </w:divBdr>
    </w:div>
    <w:div w:id="713819627">
      <w:bodyDiv w:val="1"/>
      <w:marLeft w:val="0"/>
      <w:marRight w:val="0"/>
      <w:marTop w:val="0"/>
      <w:marBottom w:val="0"/>
      <w:divBdr>
        <w:top w:val="none" w:sz="0" w:space="0" w:color="auto"/>
        <w:left w:val="none" w:sz="0" w:space="0" w:color="auto"/>
        <w:bottom w:val="none" w:sz="0" w:space="0" w:color="auto"/>
        <w:right w:val="none" w:sz="0" w:space="0" w:color="auto"/>
      </w:divBdr>
    </w:div>
    <w:div w:id="811993269">
      <w:bodyDiv w:val="1"/>
      <w:marLeft w:val="0"/>
      <w:marRight w:val="0"/>
      <w:marTop w:val="0"/>
      <w:marBottom w:val="0"/>
      <w:divBdr>
        <w:top w:val="none" w:sz="0" w:space="0" w:color="auto"/>
        <w:left w:val="none" w:sz="0" w:space="0" w:color="auto"/>
        <w:bottom w:val="none" w:sz="0" w:space="0" w:color="auto"/>
        <w:right w:val="none" w:sz="0" w:space="0" w:color="auto"/>
      </w:divBdr>
    </w:div>
    <w:div w:id="940912912">
      <w:bodyDiv w:val="1"/>
      <w:marLeft w:val="0"/>
      <w:marRight w:val="0"/>
      <w:marTop w:val="0"/>
      <w:marBottom w:val="0"/>
      <w:divBdr>
        <w:top w:val="none" w:sz="0" w:space="0" w:color="auto"/>
        <w:left w:val="none" w:sz="0" w:space="0" w:color="auto"/>
        <w:bottom w:val="none" w:sz="0" w:space="0" w:color="auto"/>
        <w:right w:val="none" w:sz="0" w:space="0" w:color="auto"/>
      </w:divBdr>
    </w:div>
    <w:div w:id="952983920">
      <w:bodyDiv w:val="1"/>
      <w:marLeft w:val="0"/>
      <w:marRight w:val="0"/>
      <w:marTop w:val="0"/>
      <w:marBottom w:val="0"/>
      <w:divBdr>
        <w:top w:val="none" w:sz="0" w:space="0" w:color="auto"/>
        <w:left w:val="none" w:sz="0" w:space="0" w:color="auto"/>
        <w:bottom w:val="none" w:sz="0" w:space="0" w:color="auto"/>
        <w:right w:val="none" w:sz="0" w:space="0" w:color="auto"/>
      </w:divBdr>
    </w:div>
    <w:div w:id="1062563887">
      <w:bodyDiv w:val="1"/>
      <w:marLeft w:val="0"/>
      <w:marRight w:val="0"/>
      <w:marTop w:val="0"/>
      <w:marBottom w:val="0"/>
      <w:divBdr>
        <w:top w:val="none" w:sz="0" w:space="0" w:color="auto"/>
        <w:left w:val="none" w:sz="0" w:space="0" w:color="auto"/>
        <w:bottom w:val="none" w:sz="0" w:space="0" w:color="auto"/>
        <w:right w:val="none" w:sz="0" w:space="0" w:color="auto"/>
      </w:divBdr>
    </w:div>
    <w:div w:id="1129930258">
      <w:bodyDiv w:val="1"/>
      <w:marLeft w:val="0"/>
      <w:marRight w:val="0"/>
      <w:marTop w:val="0"/>
      <w:marBottom w:val="0"/>
      <w:divBdr>
        <w:top w:val="none" w:sz="0" w:space="0" w:color="auto"/>
        <w:left w:val="none" w:sz="0" w:space="0" w:color="auto"/>
        <w:bottom w:val="none" w:sz="0" w:space="0" w:color="auto"/>
        <w:right w:val="none" w:sz="0" w:space="0" w:color="auto"/>
      </w:divBdr>
    </w:div>
    <w:div w:id="1134060226">
      <w:bodyDiv w:val="1"/>
      <w:marLeft w:val="0"/>
      <w:marRight w:val="0"/>
      <w:marTop w:val="0"/>
      <w:marBottom w:val="0"/>
      <w:divBdr>
        <w:top w:val="none" w:sz="0" w:space="0" w:color="auto"/>
        <w:left w:val="none" w:sz="0" w:space="0" w:color="auto"/>
        <w:bottom w:val="none" w:sz="0" w:space="0" w:color="auto"/>
        <w:right w:val="none" w:sz="0" w:space="0" w:color="auto"/>
      </w:divBdr>
    </w:div>
    <w:div w:id="1250886375">
      <w:bodyDiv w:val="1"/>
      <w:marLeft w:val="0"/>
      <w:marRight w:val="0"/>
      <w:marTop w:val="0"/>
      <w:marBottom w:val="0"/>
      <w:divBdr>
        <w:top w:val="none" w:sz="0" w:space="0" w:color="auto"/>
        <w:left w:val="none" w:sz="0" w:space="0" w:color="auto"/>
        <w:bottom w:val="none" w:sz="0" w:space="0" w:color="auto"/>
        <w:right w:val="none" w:sz="0" w:space="0" w:color="auto"/>
      </w:divBdr>
    </w:div>
    <w:div w:id="1256329115">
      <w:bodyDiv w:val="1"/>
      <w:marLeft w:val="0"/>
      <w:marRight w:val="0"/>
      <w:marTop w:val="0"/>
      <w:marBottom w:val="0"/>
      <w:divBdr>
        <w:top w:val="none" w:sz="0" w:space="0" w:color="auto"/>
        <w:left w:val="none" w:sz="0" w:space="0" w:color="auto"/>
        <w:bottom w:val="none" w:sz="0" w:space="0" w:color="auto"/>
        <w:right w:val="none" w:sz="0" w:space="0" w:color="auto"/>
      </w:divBdr>
    </w:div>
    <w:div w:id="1346637462">
      <w:bodyDiv w:val="1"/>
      <w:marLeft w:val="0"/>
      <w:marRight w:val="0"/>
      <w:marTop w:val="0"/>
      <w:marBottom w:val="0"/>
      <w:divBdr>
        <w:top w:val="none" w:sz="0" w:space="0" w:color="auto"/>
        <w:left w:val="none" w:sz="0" w:space="0" w:color="auto"/>
        <w:bottom w:val="none" w:sz="0" w:space="0" w:color="auto"/>
        <w:right w:val="none" w:sz="0" w:space="0" w:color="auto"/>
      </w:divBdr>
    </w:div>
    <w:div w:id="1487013002">
      <w:bodyDiv w:val="1"/>
      <w:marLeft w:val="0"/>
      <w:marRight w:val="0"/>
      <w:marTop w:val="0"/>
      <w:marBottom w:val="0"/>
      <w:divBdr>
        <w:top w:val="none" w:sz="0" w:space="0" w:color="auto"/>
        <w:left w:val="none" w:sz="0" w:space="0" w:color="auto"/>
        <w:bottom w:val="none" w:sz="0" w:space="0" w:color="auto"/>
        <w:right w:val="none" w:sz="0" w:space="0" w:color="auto"/>
      </w:divBdr>
    </w:div>
    <w:div w:id="1539004723">
      <w:bodyDiv w:val="1"/>
      <w:marLeft w:val="0"/>
      <w:marRight w:val="0"/>
      <w:marTop w:val="0"/>
      <w:marBottom w:val="0"/>
      <w:divBdr>
        <w:top w:val="none" w:sz="0" w:space="0" w:color="auto"/>
        <w:left w:val="none" w:sz="0" w:space="0" w:color="auto"/>
        <w:bottom w:val="none" w:sz="0" w:space="0" w:color="auto"/>
        <w:right w:val="none" w:sz="0" w:space="0" w:color="auto"/>
      </w:divBdr>
      <w:divsChild>
        <w:div w:id="1044602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5549637">
      <w:bodyDiv w:val="1"/>
      <w:marLeft w:val="0"/>
      <w:marRight w:val="0"/>
      <w:marTop w:val="0"/>
      <w:marBottom w:val="0"/>
      <w:divBdr>
        <w:top w:val="none" w:sz="0" w:space="0" w:color="auto"/>
        <w:left w:val="none" w:sz="0" w:space="0" w:color="auto"/>
        <w:bottom w:val="none" w:sz="0" w:space="0" w:color="auto"/>
        <w:right w:val="none" w:sz="0" w:space="0" w:color="auto"/>
      </w:divBdr>
    </w:div>
    <w:div w:id="1649505910">
      <w:bodyDiv w:val="1"/>
      <w:marLeft w:val="0"/>
      <w:marRight w:val="0"/>
      <w:marTop w:val="0"/>
      <w:marBottom w:val="0"/>
      <w:divBdr>
        <w:top w:val="none" w:sz="0" w:space="0" w:color="auto"/>
        <w:left w:val="none" w:sz="0" w:space="0" w:color="auto"/>
        <w:bottom w:val="none" w:sz="0" w:space="0" w:color="auto"/>
        <w:right w:val="none" w:sz="0" w:space="0" w:color="auto"/>
      </w:divBdr>
    </w:div>
    <w:div w:id="1754277730">
      <w:bodyDiv w:val="1"/>
      <w:marLeft w:val="0"/>
      <w:marRight w:val="0"/>
      <w:marTop w:val="0"/>
      <w:marBottom w:val="0"/>
      <w:divBdr>
        <w:top w:val="none" w:sz="0" w:space="0" w:color="auto"/>
        <w:left w:val="none" w:sz="0" w:space="0" w:color="auto"/>
        <w:bottom w:val="none" w:sz="0" w:space="0" w:color="auto"/>
        <w:right w:val="none" w:sz="0" w:space="0" w:color="auto"/>
      </w:divBdr>
    </w:div>
    <w:div w:id="1780877599">
      <w:bodyDiv w:val="1"/>
      <w:marLeft w:val="0"/>
      <w:marRight w:val="0"/>
      <w:marTop w:val="0"/>
      <w:marBottom w:val="0"/>
      <w:divBdr>
        <w:top w:val="none" w:sz="0" w:space="0" w:color="auto"/>
        <w:left w:val="none" w:sz="0" w:space="0" w:color="auto"/>
        <w:bottom w:val="none" w:sz="0" w:space="0" w:color="auto"/>
        <w:right w:val="none" w:sz="0" w:space="0" w:color="auto"/>
      </w:divBdr>
      <w:divsChild>
        <w:div w:id="1386177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8135674">
      <w:bodyDiv w:val="1"/>
      <w:marLeft w:val="0"/>
      <w:marRight w:val="0"/>
      <w:marTop w:val="0"/>
      <w:marBottom w:val="0"/>
      <w:divBdr>
        <w:top w:val="none" w:sz="0" w:space="0" w:color="auto"/>
        <w:left w:val="none" w:sz="0" w:space="0" w:color="auto"/>
        <w:bottom w:val="none" w:sz="0" w:space="0" w:color="auto"/>
        <w:right w:val="none" w:sz="0" w:space="0" w:color="auto"/>
      </w:divBdr>
    </w:div>
    <w:div w:id="1925215376">
      <w:bodyDiv w:val="1"/>
      <w:marLeft w:val="0"/>
      <w:marRight w:val="0"/>
      <w:marTop w:val="0"/>
      <w:marBottom w:val="0"/>
      <w:divBdr>
        <w:top w:val="none" w:sz="0" w:space="0" w:color="auto"/>
        <w:left w:val="none" w:sz="0" w:space="0" w:color="auto"/>
        <w:bottom w:val="none" w:sz="0" w:space="0" w:color="auto"/>
        <w:right w:val="none" w:sz="0" w:space="0" w:color="auto"/>
      </w:divBdr>
    </w:div>
    <w:div w:id="209316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Gon15</b:Tag>
    <b:SourceType>Report</b:SourceType>
    <b:Guid>{662213C8-7AE4-446F-A011-D4784E1BBA4F}</b:Guid>
    <b:Author>
      <b:Author>
        <b:NameList>
          <b:Person>
            <b:Last>González</b:Last>
            <b:First>Alberto</b:First>
          </b:Person>
          <b:Person>
            <b:Last>Dominguez</b:Last>
            <b:First>Efraín</b:First>
          </b:Person>
        </b:NameList>
      </b:Author>
    </b:Author>
    <b:Title>Contaminación acústica de origen vehicular en la localidad de chapinero</b:Title>
    <b:Year>2015</b:Year>
    <b:City>Bogotá</b:City>
    <b:RefOrder>1</b:RefOrder>
  </b:Source>
</b:Sources>
</file>

<file path=customXml/itemProps1.xml><?xml version="1.0" encoding="utf-8"?>
<ds:datastoreItem xmlns:ds="http://schemas.openxmlformats.org/officeDocument/2006/customXml" ds:itemID="{EA1B7AD2-7C64-4A56-8A81-315CEAB1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5565</Words>
  <Characters>30609</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HARBY LASSO N</dc:creator>
  <cp:keywords/>
  <dc:description/>
  <cp:lastModifiedBy>HARBY LASSO N</cp:lastModifiedBy>
  <cp:revision>2</cp:revision>
  <dcterms:created xsi:type="dcterms:W3CDTF">2026-06-09T20:35:00Z</dcterms:created>
  <dcterms:modified xsi:type="dcterms:W3CDTF">2026-06-09T20:35:00Z</dcterms:modified>
</cp:coreProperties>
</file>